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294484" w:rsidP="0045355A">
      <w:pPr>
        <w:jc w:val="center"/>
        <w:rPr>
          <w:noProof/>
        </w:rPr>
      </w:pPr>
      <w:bookmarkStart w:id="0" w:name="_Toc416413076"/>
      <w:bookmarkStart w:id="1" w:name="_Toc425252378"/>
      <w:r>
        <w:rPr>
          <w:noProof/>
        </w:rPr>
        <w:drawing>
          <wp:inline distT="0" distB="0" distL="0" distR="0">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Pr="006167A7" w:rsidRDefault="0045355A" w:rsidP="0045355A">
      <w:pPr>
        <w:jc w:val="right"/>
        <w:rPr>
          <w:rFonts w:ascii="Arial" w:hAnsi="Arial" w:cs="Arial"/>
          <w:b/>
        </w:rPr>
      </w:pPr>
      <w:r w:rsidRPr="006167A7">
        <w:rPr>
          <w:rFonts w:ascii="Arial" w:hAnsi="Arial" w:cs="Arial"/>
          <w:b/>
        </w:rPr>
        <w:t xml:space="preserve">Załącznik </w:t>
      </w:r>
      <w:r w:rsidRPr="00C01AD1">
        <w:rPr>
          <w:rFonts w:ascii="Arial" w:hAnsi="Arial" w:cs="Arial"/>
          <w:b/>
        </w:rPr>
        <w:t xml:space="preserve">nr </w:t>
      </w:r>
      <w:r w:rsidR="0038381B">
        <w:rPr>
          <w:rFonts w:ascii="Arial" w:hAnsi="Arial" w:cs="Arial"/>
          <w:b/>
        </w:rPr>
        <w:t>5</w:t>
      </w:r>
      <w:r w:rsidRPr="00C01AD1">
        <w:rPr>
          <w:rFonts w:ascii="Arial" w:hAnsi="Arial" w:cs="Arial"/>
          <w:b/>
        </w:rPr>
        <w:t>.</w:t>
      </w:r>
      <w:r w:rsidR="000505E3">
        <w:rPr>
          <w:rFonts w:ascii="Arial" w:hAnsi="Arial" w:cs="Arial"/>
          <w:b/>
        </w:rPr>
        <w:t>2</w:t>
      </w:r>
      <w:r w:rsidRPr="006167A7">
        <w:rPr>
          <w:rFonts w:ascii="Arial" w:hAnsi="Arial" w:cs="Arial"/>
          <w:b/>
        </w:rPr>
        <w:t xml:space="preserve"> do Regulaminu </w:t>
      </w:r>
      <w:r w:rsidR="007A1292">
        <w:rPr>
          <w:rFonts w:ascii="Arial" w:hAnsi="Arial" w:cs="Arial"/>
          <w:b/>
        </w:rPr>
        <w:t>naboru</w:t>
      </w:r>
    </w:p>
    <w:p w:rsidR="0045355A" w:rsidRDefault="0045355A" w:rsidP="0045355A">
      <w:pPr>
        <w:jc w:val="center"/>
        <w:rPr>
          <w:rFonts w:ascii="Arial" w:hAnsi="Arial" w:cs="Arial"/>
          <w:sz w:val="40"/>
          <w:szCs w:val="40"/>
        </w:rPr>
      </w:pP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rsidR="00B37B01" w:rsidRDefault="00E66AE9" w:rsidP="00B37B01">
      <w:pPr>
        <w:spacing w:after="120"/>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 xml:space="preserve">5.3 INFRASTRUKTURA KOLEJOWA </w:t>
      </w:r>
    </w:p>
    <w:p w:rsidR="00F0476C" w:rsidRPr="00B37B01" w:rsidRDefault="00B37B01" w:rsidP="00B37B01">
      <w:pPr>
        <w:jc w:val="center"/>
        <w:rPr>
          <w:rFonts w:ascii="Arial" w:hAnsi="Arial" w:cs="Arial"/>
          <w:b/>
          <w:sz w:val="40"/>
          <w:szCs w:val="40"/>
        </w:rPr>
      </w:pPr>
      <w:r w:rsidRPr="00B37B01">
        <w:rPr>
          <w:rFonts w:ascii="Arial" w:hAnsi="Arial" w:cs="Arial"/>
          <w:b/>
          <w:sz w:val="40"/>
          <w:szCs w:val="40"/>
        </w:rPr>
        <w:t xml:space="preserve">OPRACOWANIE </w:t>
      </w:r>
      <w:r>
        <w:rPr>
          <w:rFonts w:ascii="Arial" w:hAnsi="Arial" w:cs="Arial"/>
          <w:b/>
          <w:sz w:val="40"/>
          <w:szCs w:val="40"/>
        </w:rPr>
        <w:t>DOKUMENTACJI PRZEDPROJEKTOWEJ I </w:t>
      </w:r>
      <w:r w:rsidRPr="00B37B01">
        <w:rPr>
          <w:rFonts w:ascii="Arial" w:hAnsi="Arial" w:cs="Arial"/>
          <w:b/>
          <w:sz w:val="40"/>
          <w:szCs w:val="40"/>
        </w:rPr>
        <w:t>PROJEKTOWEJ DLA KOLEJOW</w:t>
      </w:r>
      <w:r>
        <w:rPr>
          <w:rFonts w:ascii="Arial" w:hAnsi="Arial" w:cs="Arial"/>
          <w:b/>
          <w:sz w:val="40"/>
          <w:szCs w:val="40"/>
        </w:rPr>
        <w:t>EJ INFRASTRUKTURY TECHNICZNEJ O </w:t>
      </w:r>
      <w:r w:rsidRPr="00B37B01">
        <w:rPr>
          <w:rFonts w:ascii="Arial" w:hAnsi="Arial" w:cs="Arial"/>
          <w:b/>
          <w:sz w:val="40"/>
          <w:szCs w:val="40"/>
        </w:rPr>
        <w:t>ZNACZENIU REGIONALNYM</w:t>
      </w:r>
    </w:p>
    <w:p w:rsidR="00F0476C" w:rsidRPr="00163DC6" w:rsidRDefault="00F0476C" w:rsidP="0038381B">
      <w:pPr>
        <w:spacing w:before="120"/>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rsidR="002A2758" w:rsidRDefault="002A2758" w:rsidP="002A2758">
      <w:pPr>
        <w:spacing w:line="276" w:lineRule="auto"/>
        <w:jc w:val="center"/>
        <w:rPr>
          <w:rFonts w:ascii="Arial" w:hAnsi="Arial" w:cs="Arial"/>
          <w:b/>
          <w:sz w:val="28"/>
          <w:szCs w:val="28"/>
        </w:rPr>
      </w:pPr>
    </w:p>
    <w:p w:rsidR="0038381B" w:rsidRDefault="0038381B"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7A1292" w:rsidP="004813A3">
      <w:pPr>
        <w:jc w:val="center"/>
        <w:rPr>
          <w:rFonts w:ascii="Arial" w:hAnsi="Arial" w:cs="Arial"/>
          <w:i/>
          <w:sz w:val="36"/>
          <w:szCs w:val="36"/>
        </w:rPr>
      </w:pPr>
      <w:r>
        <w:rPr>
          <w:rFonts w:ascii="Arial" w:hAnsi="Arial" w:cs="Arial"/>
          <w:i/>
          <w:sz w:val="36"/>
          <w:szCs w:val="36"/>
        </w:rPr>
        <w:t xml:space="preserve">uchwałą z dnia </w:t>
      </w:r>
      <w:r w:rsidR="004813A3" w:rsidRPr="004813A3">
        <w:rPr>
          <w:rFonts w:ascii="Arial" w:hAnsi="Arial" w:cs="Arial"/>
          <w:i/>
          <w:sz w:val="36"/>
          <w:szCs w:val="36"/>
        </w:rPr>
        <w:t>25 września 2015 r. z późn. zm.)</w:t>
      </w: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bookmarkEnd w:id="3"/>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rsidR="00BD4316" w:rsidRPr="00BD4316" w:rsidRDefault="00BD4316" w:rsidP="00BD4316">
            <w:pPr>
              <w:pStyle w:val="Default"/>
              <w:spacing w:before="60" w:after="60"/>
              <w:ind w:left="175" w:hanging="175"/>
              <w:jc w:val="both"/>
              <w:rPr>
                <w:rFonts w:ascii="Arial" w:hAnsi="Arial" w:cs="Arial"/>
                <w:color w:val="auto"/>
              </w:rPr>
            </w:pPr>
            <w:r w:rsidRPr="00BD4316">
              <w:rPr>
                <w:rFonts w:ascii="Arial" w:hAnsi="Arial" w:cs="Arial"/>
                <w:color w:val="auto"/>
              </w:rPr>
              <w:t>Przez to kryterium należy rozumieć, iż na dzień złożenia wniosku:</w:t>
            </w:r>
          </w:p>
          <w:p w:rsidR="002E600E" w:rsidRPr="002E600E" w:rsidRDefault="002E600E" w:rsidP="002E600E">
            <w:pPr>
              <w:pStyle w:val="Default"/>
              <w:numPr>
                <w:ilvl w:val="0"/>
                <w:numId w:val="36"/>
              </w:numPr>
              <w:spacing w:before="60" w:after="60"/>
              <w:jc w:val="both"/>
              <w:rPr>
                <w:rFonts w:ascii="Arial" w:hAnsi="Arial" w:cs="Arial"/>
                <w:color w:val="auto"/>
              </w:rPr>
            </w:pPr>
            <w:r>
              <w:rPr>
                <w:rFonts w:ascii="Arial" w:hAnsi="Arial" w:cs="Arial"/>
                <w:color w:val="auto"/>
              </w:rPr>
              <w:t>w</w:t>
            </w:r>
            <w:r w:rsidRPr="002E600E">
              <w:rPr>
                <w:rFonts w:ascii="Arial" w:hAnsi="Arial" w:cs="Arial"/>
                <w:color w:val="auto"/>
              </w:rPr>
              <w:t>nioskodawca / partner* wpisuje się w katalog beneficjentów danego działania/poddziałania/typu projektu określonych w</w:t>
            </w:r>
            <w:r>
              <w:rPr>
                <w:rFonts w:ascii="Arial" w:hAnsi="Arial" w:cs="Arial"/>
                <w:color w:val="auto"/>
              </w:rPr>
              <w:t> </w:t>
            </w:r>
            <w:r w:rsidRPr="002E600E">
              <w:rPr>
                <w:rFonts w:ascii="Arial" w:hAnsi="Arial" w:cs="Arial"/>
                <w:color w:val="auto"/>
              </w:rPr>
              <w:t>SZOOP obowiązującym na dzień ogłoszenia naboru wniosków.</w:t>
            </w:r>
          </w:p>
          <w:p w:rsidR="002E600E" w:rsidRPr="002E600E" w:rsidRDefault="002E600E" w:rsidP="002E600E">
            <w:pPr>
              <w:pStyle w:val="Default"/>
              <w:numPr>
                <w:ilvl w:val="0"/>
                <w:numId w:val="36"/>
              </w:numPr>
              <w:spacing w:before="60" w:after="60"/>
              <w:jc w:val="both"/>
              <w:rPr>
                <w:rFonts w:ascii="Arial" w:hAnsi="Arial" w:cs="Arial"/>
                <w:color w:val="auto"/>
              </w:rPr>
            </w:pPr>
            <w:r w:rsidRPr="002E600E">
              <w:rPr>
                <w:rFonts w:ascii="Arial" w:hAnsi="Arial" w:cs="Arial"/>
                <w:color w:val="auto"/>
              </w:rPr>
              <w:t>wnioskodawca / partner* nie podlega wykluczeniu związanemu z</w:t>
            </w:r>
            <w:r>
              <w:rPr>
                <w:rFonts w:ascii="Arial" w:hAnsi="Arial" w:cs="Arial"/>
                <w:color w:val="auto"/>
              </w:rPr>
              <w:t> </w:t>
            </w:r>
            <w:r w:rsidRPr="002E600E">
              <w:rPr>
                <w:rFonts w:ascii="Arial" w:hAnsi="Arial" w:cs="Arial"/>
                <w:color w:val="auto"/>
              </w:rPr>
              <w:t>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2E600E" w:rsidRPr="002E600E" w:rsidRDefault="002E600E" w:rsidP="002E600E">
            <w:pPr>
              <w:pStyle w:val="Default"/>
              <w:numPr>
                <w:ilvl w:val="0"/>
                <w:numId w:val="40"/>
              </w:numPr>
              <w:spacing w:before="60" w:after="60"/>
              <w:ind w:left="1060"/>
              <w:jc w:val="both"/>
              <w:rPr>
                <w:rFonts w:ascii="Arial" w:hAnsi="Arial" w:cs="Arial"/>
                <w:color w:val="auto"/>
              </w:rPr>
            </w:pPr>
            <w:r w:rsidRPr="002E600E">
              <w:rPr>
                <w:rFonts w:ascii="Arial" w:hAnsi="Arial" w:cs="Arial"/>
                <w:color w:val="auto"/>
              </w:rPr>
              <w:t>art. 207 ust. 4 ustawy z dn. 27 sierpnia 2009 r. o finansach publicznych,</w:t>
            </w:r>
          </w:p>
          <w:p w:rsidR="002E600E" w:rsidRPr="002E600E" w:rsidRDefault="002E600E" w:rsidP="002E600E">
            <w:pPr>
              <w:pStyle w:val="Default"/>
              <w:numPr>
                <w:ilvl w:val="0"/>
                <w:numId w:val="40"/>
              </w:numPr>
              <w:spacing w:before="60" w:after="60"/>
              <w:ind w:left="1060"/>
              <w:jc w:val="both"/>
              <w:rPr>
                <w:rFonts w:ascii="Arial" w:hAnsi="Arial" w:cs="Arial"/>
                <w:color w:val="auto"/>
              </w:rPr>
            </w:pPr>
            <w:r w:rsidRPr="002E600E">
              <w:rPr>
                <w:rFonts w:ascii="Arial" w:hAnsi="Arial" w:cs="Arial"/>
                <w:color w:val="auto"/>
              </w:rPr>
              <w:t>art. 12 ust. 1 pkt 1 ustawy z dn. 15 czerwca 2012 r. o skutkach powierzania wykonywania pracy cudzoziemcom przebywającym wbrew przepisom na terytorium Rzeczypospolitej Polskiej,</w:t>
            </w:r>
          </w:p>
          <w:p w:rsidR="002E600E" w:rsidRPr="002E600E" w:rsidRDefault="002E600E" w:rsidP="002E600E">
            <w:pPr>
              <w:pStyle w:val="Default"/>
              <w:numPr>
                <w:ilvl w:val="0"/>
                <w:numId w:val="40"/>
              </w:numPr>
              <w:spacing w:before="60" w:after="60"/>
              <w:ind w:left="1060"/>
              <w:jc w:val="both"/>
              <w:rPr>
                <w:rFonts w:ascii="Arial" w:hAnsi="Arial" w:cs="Arial"/>
                <w:color w:val="auto"/>
              </w:rPr>
            </w:pPr>
            <w:r w:rsidRPr="002E600E">
              <w:rPr>
                <w:rFonts w:ascii="Arial" w:hAnsi="Arial" w:cs="Arial"/>
                <w:color w:val="auto"/>
              </w:rPr>
              <w:t>art. 9 ust. 1 pkt 2a ustawy z dn. 28 października 2002 r. o</w:t>
            </w:r>
            <w:r>
              <w:rPr>
                <w:rFonts w:ascii="Arial" w:hAnsi="Arial" w:cs="Arial"/>
                <w:color w:val="auto"/>
              </w:rPr>
              <w:t> </w:t>
            </w:r>
            <w:r w:rsidRPr="002E600E">
              <w:rPr>
                <w:rFonts w:ascii="Arial" w:hAnsi="Arial" w:cs="Arial"/>
                <w:color w:val="auto"/>
              </w:rPr>
              <w:t>odpowiedzialności podmiotów zbiorowych za czyny zabronione pod groźbą kary.</w:t>
            </w:r>
          </w:p>
          <w:p w:rsidR="002E600E" w:rsidRPr="002E600E" w:rsidRDefault="002E600E" w:rsidP="002E600E">
            <w:pPr>
              <w:pStyle w:val="Default"/>
              <w:spacing w:before="60" w:after="60"/>
              <w:jc w:val="both"/>
              <w:rPr>
                <w:rFonts w:ascii="Arial" w:hAnsi="Arial" w:cs="Arial"/>
                <w:color w:val="auto"/>
              </w:rPr>
            </w:pPr>
            <w:r w:rsidRPr="002E600E">
              <w:rPr>
                <w:rFonts w:ascii="Arial" w:hAnsi="Arial" w:cs="Arial"/>
                <w:color w:val="auto"/>
              </w:rPr>
              <w:t>*Dotyczy projektów realizowanych w partnerstwie z wyłączeniem partnerstwa publiczno-prywatnego.</w:t>
            </w:r>
          </w:p>
          <w:p w:rsidR="003375EB" w:rsidRPr="00BD4316" w:rsidRDefault="001D37D5" w:rsidP="002E600E">
            <w:pPr>
              <w:pStyle w:val="Default"/>
              <w:spacing w:before="120" w:after="60"/>
              <w:jc w:val="both"/>
              <w:rPr>
                <w:rFonts w:ascii="Arial" w:hAnsi="Arial" w:cs="Arial"/>
                <w:color w:val="auto"/>
              </w:rPr>
            </w:pPr>
            <w:r>
              <w:rPr>
                <w:rFonts w:ascii="Arial" w:hAnsi="Arial" w:cs="Arial"/>
                <w:color w:val="auto"/>
              </w:rPr>
              <w:t>Istnieje możliwość poprawy/</w:t>
            </w:r>
            <w:r w:rsidR="002E600E" w:rsidRPr="002E600E">
              <w:rPr>
                <w:rFonts w:ascii="Arial" w:hAnsi="Arial" w:cs="Arial"/>
                <w:color w:val="auto"/>
              </w:rPr>
              <w:t>uzupełnienia projektu w zakresie</w:t>
            </w:r>
            <w:r w:rsidR="002E600E">
              <w:rPr>
                <w:rFonts w:ascii="Arial" w:hAnsi="Arial" w:cs="Arial"/>
                <w:color w:val="auto"/>
              </w:rPr>
              <w:t xml:space="preserve"> </w:t>
            </w:r>
            <w:r w:rsidR="002E600E" w:rsidRPr="002E600E">
              <w:rPr>
                <w:rFonts w:ascii="Arial" w:hAnsi="Arial" w:cs="Arial"/>
                <w:color w:val="auto"/>
              </w:rPr>
              <w:t>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FE1AEB" w:rsidRPr="00553804" w:rsidRDefault="00FE1AEB" w:rsidP="00553804">
            <w:pPr>
              <w:spacing w:before="60" w:after="60"/>
              <w:jc w:val="both"/>
              <w:rPr>
                <w:rFonts w:ascii="Arial" w:hAnsi="Arial" w:cs="Arial"/>
                <w:color w:val="000000"/>
              </w:rPr>
            </w:pPr>
            <w:r w:rsidRPr="00553804">
              <w:rPr>
                <w:rFonts w:ascii="Arial" w:hAnsi="Arial" w:cs="Arial"/>
                <w:color w:val="000000"/>
              </w:rPr>
              <w:t>Przez to kryterium należy rozumieć, iż:</w:t>
            </w:r>
          </w:p>
          <w:p w:rsidR="00FE1AEB" w:rsidRPr="00FE1AEB" w:rsidRDefault="00FE1AEB" w:rsidP="00553804">
            <w:pPr>
              <w:pStyle w:val="Akapitzlist"/>
              <w:numPr>
                <w:ilvl w:val="0"/>
                <w:numId w:val="41"/>
              </w:numPr>
              <w:spacing w:before="60" w:after="60"/>
              <w:jc w:val="both"/>
              <w:rPr>
                <w:rFonts w:ascii="Arial" w:hAnsi="Arial" w:cs="Arial"/>
                <w:color w:val="000000"/>
                <w:lang w:val="pl-PL" w:eastAsia="pl-PL"/>
              </w:rPr>
            </w:pPr>
            <w:r w:rsidRPr="00FE1AEB">
              <w:rPr>
                <w:rFonts w:ascii="Arial" w:hAnsi="Arial" w:cs="Arial"/>
                <w:color w:val="000000"/>
                <w:lang w:val="pl-PL" w:eastAsia="pl-PL"/>
              </w:rPr>
              <w:t>zakres rzeczowy projektu jest zgodny z celem odpowiedniego działania / poddziałania, typem projektu możliwym do realizacji w ramach danego działania / poddziałania wymienionych w SZOOP obowiązującym na dzień ogłoszenia naboru wniosków,</w:t>
            </w:r>
          </w:p>
          <w:p w:rsidR="00FE1AEB" w:rsidRPr="00FE1AEB" w:rsidRDefault="00FE1AEB" w:rsidP="00553804">
            <w:pPr>
              <w:pStyle w:val="Akapitzlist"/>
              <w:numPr>
                <w:ilvl w:val="0"/>
                <w:numId w:val="41"/>
              </w:numPr>
              <w:spacing w:before="60" w:after="60"/>
              <w:jc w:val="both"/>
              <w:rPr>
                <w:rFonts w:ascii="Arial" w:hAnsi="Arial" w:cs="Arial"/>
                <w:color w:val="000000"/>
                <w:lang w:val="pl-PL" w:eastAsia="pl-PL"/>
              </w:rPr>
            </w:pPr>
            <w:r w:rsidRPr="00FE1AEB">
              <w:rPr>
                <w:rFonts w:ascii="Arial" w:hAnsi="Arial" w:cs="Arial"/>
                <w:color w:val="000000"/>
                <w:lang w:val="pl-PL" w:eastAsia="pl-PL"/>
              </w:rPr>
              <w:lastRenderedPageBreak/>
              <w:t>uzupełnienia do wniosku zostały dokonane prawidłowo, tj. błędy wskazane w wezwaniu zostały usunięte,</w:t>
            </w:r>
          </w:p>
          <w:p w:rsidR="00FE1AEB" w:rsidRPr="00FE1AEB" w:rsidRDefault="00FE1AEB" w:rsidP="00553804">
            <w:pPr>
              <w:pStyle w:val="Akapitzlist"/>
              <w:numPr>
                <w:ilvl w:val="0"/>
                <w:numId w:val="41"/>
              </w:numPr>
              <w:spacing w:before="60" w:after="60"/>
              <w:jc w:val="both"/>
              <w:rPr>
                <w:rFonts w:ascii="Arial" w:hAnsi="Arial" w:cs="Arial"/>
                <w:color w:val="000000"/>
                <w:lang w:val="pl-PL" w:eastAsia="pl-PL"/>
              </w:rPr>
            </w:pPr>
            <w:r w:rsidRPr="00FE1AEB">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rsidR="001D37D5" w:rsidRPr="001D37D5" w:rsidRDefault="00FE1AEB" w:rsidP="001D37D5">
            <w:pPr>
              <w:pStyle w:val="Akapitzlist"/>
              <w:numPr>
                <w:ilvl w:val="0"/>
                <w:numId w:val="41"/>
              </w:numPr>
              <w:spacing w:before="60" w:after="120"/>
              <w:ind w:left="714" w:hanging="357"/>
              <w:contextualSpacing w:val="0"/>
              <w:jc w:val="both"/>
              <w:rPr>
                <w:rFonts w:ascii="Arial" w:hAnsi="Arial" w:cs="Arial"/>
                <w:color w:val="000000"/>
                <w:lang w:val="pl-PL" w:eastAsia="pl-PL"/>
              </w:rPr>
            </w:pPr>
            <w:r w:rsidRPr="00FE1AEB">
              <w:rPr>
                <w:rFonts w:ascii="Arial" w:hAnsi="Arial" w:cs="Arial"/>
                <w:color w:val="000000"/>
                <w:lang w:val="pl-PL" w:eastAsia="pl-PL"/>
              </w:rPr>
              <w:t>projekt jest realizowany na terenie województwa podkarpackiego.</w:t>
            </w:r>
          </w:p>
          <w:p w:rsidR="003911DB" w:rsidRPr="007C7515" w:rsidRDefault="003911DB" w:rsidP="003911DB">
            <w:pPr>
              <w:pStyle w:val="Akapitzlist"/>
              <w:spacing w:before="120" w:after="60"/>
              <w:ind w:left="0"/>
              <w:jc w:val="both"/>
              <w:rPr>
                <w:rFonts w:ascii="Arial" w:hAnsi="Arial" w:cs="Arial"/>
                <w:color w:val="000000"/>
                <w:lang w:val="pl-PL" w:eastAsia="pl-PL"/>
              </w:rPr>
            </w:pPr>
            <w:r w:rsidRPr="003911DB">
              <w:rPr>
                <w:rFonts w:ascii="Arial" w:hAnsi="Arial" w:cs="Arial"/>
                <w:color w:val="000000"/>
                <w:lang w:val="pl-PL" w:eastAsia="pl-P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553804" w:rsidRPr="00553804" w:rsidRDefault="00553804" w:rsidP="00553804">
            <w:pPr>
              <w:pStyle w:val="Akapitzlist"/>
              <w:spacing w:before="60" w:after="60"/>
              <w:ind w:left="33"/>
              <w:jc w:val="both"/>
              <w:rPr>
                <w:rFonts w:ascii="Arial" w:hAnsi="Arial" w:cs="Arial"/>
              </w:rPr>
            </w:pPr>
            <w:r w:rsidRPr="00553804">
              <w:rPr>
                <w:rFonts w:ascii="Arial" w:hAnsi="Arial" w:cs="Arial"/>
              </w:rPr>
              <w:t>Przez to kryterium należy rozumieć, iż zakres finansowy wniosku o</w:t>
            </w:r>
            <w:r>
              <w:rPr>
                <w:rFonts w:ascii="Arial" w:hAnsi="Arial" w:cs="Arial"/>
                <w:lang w:val="pl-PL"/>
              </w:rPr>
              <w:t> </w:t>
            </w:r>
            <w:r w:rsidRPr="00553804">
              <w:rPr>
                <w:rFonts w:ascii="Arial" w:hAnsi="Arial" w:cs="Arial"/>
              </w:rPr>
              <w:t>dofinansowanie jest zgodny z kryteriami brzegowymi</w:t>
            </w:r>
            <w:r w:rsidR="00BC5755">
              <w:rPr>
                <w:rStyle w:val="Odwoanieprzypisudolnego"/>
                <w:rFonts w:ascii="Arial" w:hAnsi="Arial" w:cs="Arial"/>
              </w:rPr>
              <w:footnoteReference w:id="1"/>
            </w:r>
            <w:r w:rsidRPr="00553804">
              <w:rPr>
                <w:rFonts w:ascii="Arial" w:hAnsi="Arial" w:cs="Arial"/>
              </w:rPr>
              <w:t xml:space="preserve"> dotyczącymi:</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maksymalnej i minimalnej wartości projektu,</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maksymalnej i minimalnej wartości wydatków kwalifikowalnych projektu,</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maksymalnej i minimalnej wartości dofinansowania,</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wymaganego wkładu własnego beneficjenta,</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maksymalnego % poziomu dofinansowania UE wydatków kwalifikowalnych projektu,</w:t>
            </w:r>
          </w:p>
          <w:p w:rsid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maksymalnego % poziomu dofinansowania całkowitego wydatków kwalifikowalnych projektu.</w:t>
            </w:r>
          </w:p>
          <w:p w:rsidR="003911DB" w:rsidRPr="003911DB" w:rsidRDefault="003911DB" w:rsidP="003911DB">
            <w:pPr>
              <w:spacing w:before="120" w:after="60"/>
              <w:jc w:val="both"/>
              <w:rPr>
                <w:rFonts w:ascii="Arial" w:hAnsi="Arial" w:cs="Arial"/>
              </w:rPr>
            </w:pPr>
            <w:r w:rsidRPr="003911DB">
              <w:rPr>
                <w:rFonts w:ascii="Arial" w:hAnsi="Arial" w:cs="Arial"/>
              </w:rPr>
              <w:t>Istnieje możliwość poprawy/ uzupełnienia projektu w zakresie niniejszego kryterium (zgodnie z art. 45 ust. 3 ustawy wdrożeniowej).</w:t>
            </w:r>
          </w:p>
          <w:p w:rsidR="003375EB" w:rsidRPr="00B95A00" w:rsidRDefault="003911DB" w:rsidP="003911DB">
            <w:pPr>
              <w:spacing w:before="120" w:after="60"/>
              <w:jc w:val="both"/>
              <w:rPr>
                <w:rFonts w:ascii="Arial" w:hAnsi="Arial" w:cs="Arial"/>
                <w:sz w:val="22"/>
                <w:szCs w:val="22"/>
              </w:rPr>
            </w:pPr>
            <w:r w:rsidRPr="003911DB">
              <w:rPr>
                <w:rFonts w:ascii="Arial" w:hAnsi="Arial" w:cs="Arial"/>
              </w:rPr>
              <w:t>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553804" w:rsidRPr="00553804" w:rsidRDefault="00553804" w:rsidP="00553804">
            <w:pPr>
              <w:pStyle w:val="Akapitzlist"/>
              <w:spacing w:before="60" w:after="60"/>
              <w:ind w:left="33"/>
              <w:jc w:val="both"/>
              <w:rPr>
                <w:rFonts w:ascii="Arial" w:hAnsi="Arial" w:cs="Arial"/>
              </w:rPr>
            </w:pPr>
            <w:r w:rsidRPr="00553804">
              <w:rPr>
                <w:rFonts w:ascii="Arial" w:hAnsi="Arial" w:cs="Arial"/>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w:t>
            </w:r>
            <w:r w:rsidRPr="00553804">
              <w:rPr>
                <w:rFonts w:ascii="Arial" w:hAnsi="Arial" w:cs="Arial"/>
              </w:rPr>
              <w:lastRenderedPageBreak/>
              <w:t>o</w:t>
            </w:r>
            <w:r>
              <w:rPr>
                <w:rFonts w:ascii="Arial" w:hAnsi="Arial" w:cs="Arial"/>
                <w:lang w:val="pl-PL"/>
              </w:rPr>
              <w:t> </w:t>
            </w:r>
            <w:r w:rsidRPr="00553804">
              <w:rPr>
                <w:rFonts w:ascii="Arial" w:hAnsi="Arial" w:cs="Arial"/>
              </w:rPr>
              <w:t>dofinansowanie niezależnie od tego, czy wszystkie powiązane płatności zostały dokonane przez beneficjenta.</w:t>
            </w:r>
          </w:p>
          <w:p w:rsidR="00553804" w:rsidRPr="00553804" w:rsidRDefault="00553804" w:rsidP="00553804">
            <w:pPr>
              <w:pStyle w:val="Akapitzlist"/>
              <w:spacing w:before="120" w:after="60"/>
              <w:ind w:left="34"/>
              <w:jc w:val="both"/>
              <w:rPr>
                <w:rFonts w:ascii="Arial" w:hAnsi="Arial" w:cs="Arial"/>
              </w:rPr>
            </w:pPr>
            <w:r w:rsidRPr="00553804">
              <w:rPr>
                <w:rFonts w:ascii="Arial" w:hAnsi="Arial" w:cs="Arial"/>
              </w:rPr>
              <w:t>Ponadto, w ramach kryterium będzie weryfikowane czy:</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 xml:space="preserve">Projekt jest zgodny z właściwymi przepisami prawa </w:t>
            </w:r>
            <w:r w:rsidR="00B2003F">
              <w:rPr>
                <w:rFonts w:ascii="Arial" w:hAnsi="Arial" w:cs="Arial"/>
                <w:lang w:val="pl-PL"/>
              </w:rPr>
              <w:t>unijnego</w:t>
            </w:r>
            <w:r w:rsidR="00B2003F">
              <w:rPr>
                <w:rFonts w:ascii="Arial" w:hAnsi="Arial" w:cs="Arial"/>
              </w:rPr>
              <w:t xml:space="preserve"> i </w:t>
            </w:r>
            <w:r w:rsidRPr="00553804">
              <w:rPr>
                <w:rFonts w:ascii="Arial" w:hAnsi="Arial" w:cs="Arial"/>
              </w:rPr>
              <w:t>krajowego, w tym dot. zamówień publicznych, jeśli realizacja projektu rozpoczęła się</w:t>
            </w:r>
            <w:r w:rsidR="00B2003F">
              <w:rPr>
                <w:rFonts w:ascii="Arial" w:hAnsi="Arial" w:cs="Arial"/>
              </w:rPr>
              <w:t xml:space="preserve"> przed dniem złożenia wniosku o </w:t>
            </w:r>
            <w:r w:rsidRPr="00553804">
              <w:rPr>
                <w:rFonts w:ascii="Arial" w:hAnsi="Arial" w:cs="Arial"/>
              </w:rPr>
              <w:t>dofinansowanie – art. 125 ust. 3 lit. e) Rozporządzenia (UE) nr 1303/2013 z dnia 17 grudnia 2013 r.</w:t>
            </w:r>
          </w:p>
          <w:p w:rsidR="00553804" w:rsidRDefault="00553804" w:rsidP="00553804">
            <w:pPr>
              <w:pStyle w:val="Akapitzlist"/>
              <w:numPr>
                <w:ilvl w:val="0"/>
                <w:numId w:val="41"/>
              </w:numPr>
              <w:spacing w:before="120" w:after="60"/>
              <w:jc w:val="both"/>
              <w:rPr>
                <w:rFonts w:ascii="Arial" w:hAnsi="Arial" w:cs="Arial"/>
              </w:rPr>
            </w:pPr>
            <w:r w:rsidRPr="00553804">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3D53B3" w:rsidRDefault="003911DB" w:rsidP="003911DB">
            <w:pPr>
              <w:spacing w:before="120" w:after="60"/>
              <w:jc w:val="both"/>
              <w:rPr>
                <w:rFonts w:ascii="Arial" w:hAnsi="Arial" w:cs="Arial"/>
              </w:rPr>
            </w:pPr>
            <w:r w:rsidRPr="003911DB">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2E600E" w:rsidRPr="006167A7" w:rsidTr="00F45FFD">
        <w:trPr>
          <w:trHeight w:val="435"/>
        </w:trPr>
        <w:tc>
          <w:tcPr>
            <w:tcW w:w="675" w:type="dxa"/>
            <w:shd w:val="clear" w:color="auto" w:fill="auto"/>
            <w:vAlign w:val="center"/>
          </w:tcPr>
          <w:p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2E600E" w:rsidRPr="00B20A13" w:rsidRDefault="002E600E" w:rsidP="003375EB">
            <w:pPr>
              <w:pStyle w:val="Default"/>
              <w:rPr>
                <w:rFonts w:ascii="Arial" w:hAnsi="Arial" w:cs="Arial"/>
              </w:rPr>
            </w:pPr>
            <w:r w:rsidRPr="002E600E">
              <w:rPr>
                <w:rFonts w:ascii="Arial" w:hAnsi="Arial" w:cs="Arial"/>
              </w:rPr>
              <w:t>Zgodność wniosku o dofinansowanie z kartą projektu z etapu identyfikacji projektu</w:t>
            </w:r>
          </w:p>
        </w:tc>
        <w:tc>
          <w:tcPr>
            <w:tcW w:w="7938" w:type="dxa"/>
            <w:shd w:val="clear" w:color="auto" w:fill="auto"/>
            <w:vAlign w:val="center"/>
          </w:tcPr>
          <w:p w:rsidR="002E600E" w:rsidRPr="002E600E" w:rsidRDefault="002E600E" w:rsidP="002E600E">
            <w:pPr>
              <w:spacing w:before="60" w:after="60"/>
              <w:jc w:val="both"/>
              <w:rPr>
                <w:rFonts w:ascii="Arial" w:hAnsi="Arial" w:cs="Arial"/>
              </w:rPr>
            </w:pPr>
            <w:r w:rsidRPr="002E600E">
              <w:rPr>
                <w:rFonts w:ascii="Arial" w:hAnsi="Arial" w:cs="Arial"/>
              </w:rPr>
              <w:t>W ramach kryterium weryfikowane jest czy informacje zawarte we wniosku o dofinansowanie są zgodne z kartą projektu uzgodnioną z IZ RPO WP 2014-2020 na etapie identyfikacji projektu.</w:t>
            </w:r>
          </w:p>
          <w:p w:rsidR="002E600E" w:rsidRPr="00544398" w:rsidRDefault="002E600E" w:rsidP="002E600E">
            <w:pPr>
              <w:spacing w:before="60" w:after="60"/>
              <w:jc w:val="both"/>
              <w:rPr>
                <w:rFonts w:ascii="Arial" w:hAnsi="Arial" w:cs="Arial"/>
              </w:rPr>
            </w:pPr>
            <w:r w:rsidRPr="002E600E">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2E600E" w:rsidRPr="006167A7" w:rsidRDefault="002E600E"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553804" w:rsidRPr="00553804" w:rsidRDefault="00553804" w:rsidP="00553804">
            <w:pPr>
              <w:spacing w:before="60" w:after="60"/>
              <w:jc w:val="both"/>
              <w:rPr>
                <w:rFonts w:ascii="Arial" w:hAnsi="Arial" w:cs="Arial"/>
              </w:rPr>
            </w:pPr>
            <w:r w:rsidRPr="00553804">
              <w:rPr>
                <w:rFonts w:ascii="Arial" w:hAnsi="Arial" w:cs="Arial"/>
              </w:rPr>
              <w:t>W ramach kryterium weryfikowane jest czy planowany okres realizacji projektu (termin rozpoczęcia i zakończenia) jest zgodny z wymaganiami określonymi przez IZ RPO WP 2014-2020.</w:t>
            </w:r>
          </w:p>
          <w:p w:rsidR="003375EB" w:rsidRDefault="00553804" w:rsidP="00553804">
            <w:pPr>
              <w:spacing w:before="60" w:after="60"/>
              <w:jc w:val="both"/>
              <w:rPr>
                <w:rFonts w:ascii="Arial" w:hAnsi="Arial" w:cs="Arial"/>
              </w:rPr>
            </w:pPr>
            <w:r w:rsidRPr="00553804">
              <w:rPr>
                <w:rFonts w:ascii="Arial" w:hAnsi="Arial" w:cs="Arial"/>
              </w:rPr>
              <w:t>Istnieje możliwość poprawy/ uzupełnienia projektu w zakresie niniejszego kryterium (zgodnie z art. 45 ust. 3 ustawy wdrożeniowej).</w:t>
            </w:r>
          </w:p>
          <w:p w:rsidR="003911DB" w:rsidRPr="008C717F" w:rsidRDefault="003911DB" w:rsidP="003911DB">
            <w:pPr>
              <w:spacing w:before="120" w:after="60"/>
              <w:jc w:val="both"/>
              <w:rPr>
                <w:rFonts w:ascii="Arial" w:hAnsi="Arial" w:cs="Arial"/>
              </w:rPr>
            </w:pPr>
            <w:r w:rsidRPr="003911DB">
              <w:rPr>
                <w:rFonts w:ascii="Arial" w:hAnsi="Arial" w:cs="Arial"/>
              </w:rPr>
              <w:t>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553804" w:rsidRPr="00553804" w:rsidRDefault="00553804" w:rsidP="00553804">
            <w:pPr>
              <w:spacing w:before="60" w:after="120"/>
              <w:jc w:val="both"/>
              <w:rPr>
                <w:rFonts w:ascii="Arial" w:hAnsi="Arial" w:cs="Arial"/>
              </w:rPr>
            </w:pPr>
            <w:r w:rsidRPr="00553804">
              <w:rPr>
                <w:rFonts w:ascii="Arial" w:hAnsi="Arial" w:cs="Arial"/>
              </w:rPr>
              <w:t>W ramach kryterium dokonywana jest wstępna weryfikacja wydatków zgłoszonych do dofinansowania przez wnioskodawcę, tj.:</w:t>
            </w:r>
          </w:p>
          <w:p w:rsidR="00553804" w:rsidRPr="00553804" w:rsidRDefault="00553804" w:rsidP="00553804">
            <w:pPr>
              <w:jc w:val="both"/>
              <w:rPr>
                <w:rFonts w:ascii="Arial" w:hAnsi="Arial" w:cs="Arial"/>
              </w:rPr>
            </w:pPr>
            <w:r w:rsidRPr="00553804">
              <w:rPr>
                <w:rFonts w:ascii="Arial" w:hAnsi="Arial" w:cs="Arial"/>
              </w:rPr>
              <w:lastRenderedPageBreak/>
              <w:t>Czy wydatki wskazane we wniosku wpisują się w katalog wydatków kwalifikowalnych zgodnie z wytycznymi w zakresie kwalifikowalności wydatków w ramach Europejskiego Funduszu Rozwoju Regionalnego, Europejskiego Funduszu Społecznego oraz Funduszu Spójności w</w:t>
            </w:r>
            <w:r>
              <w:rPr>
                <w:rFonts w:ascii="Arial" w:hAnsi="Arial" w:cs="Arial"/>
              </w:rPr>
              <w:t> </w:t>
            </w:r>
            <w:r w:rsidRPr="00553804">
              <w:rPr>
                <w:rFonts w:ascii="Arial" w:hAnsi="Arial" w:cs="Arial"/>
              </w:rPr>
              <w:t xml:space="preserve">okresie programowania 2014-2020, załącznikiem nr 7 do SZOOP RPO WP 2014-2020 obowiązującego na dzień ogłoszenia naboru wniosków – </w:t>
            </w:r>
            <w:r w:rsidRPr="00FB551E">
              <w:rPr>
                <w:rFonts w:ascii="Arial" w:hAnsi="Arial" w:cs="Arial"/>
                <w:i/>
              </w:rPr>
              <w:t>Katalogi wydatków kwalifikowalnych i niekwalifikowalnych w ramach poszczególnych osi priorytetowych, działań i poddziałań – zakres EFRR</w:t>
            </w:r>
            <w:r w:rsidRPr="00553804">
              <w:rPr>
                <w:rFonts w:ascii="Arial" w:hAnsi="Arial" w:cs="Arial"/>
              </w:rPr>
              <w:t>, regulaminem naboru, a także rozporządzeniami dot. pomocy publicznej/pomocy de minimis.</w:t>
            </w:r>
          </w:p>
          <w:p w:rsidR="00B20A13" w:rsidRPr="00B20A13" w:rsidRDefault="00553804" w:rsidP="00553804">
            <w:pPr>
              <w:spacing w:before="120" w:after="60"/>
              <w:jc w:val="both"/>
              <w:rPr>
                <w:rFonts w:ascii="Arial" w:hAnsi="Arial" w:cs="Arial"/>
                <w:sz w:val="22"/>
                <w:szCs w:val="22"/>
              </w:rPr>
            </w:pPr>
            <w:r w:rsidRPr="00553804">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553804" w:rsidRPr="00553804" w:rsidRDefault="00553804" w:rsidP="00553804">
            <w:pPr>
              <w:pStyle w:val="Default"/>
              <w:spacing w:before="60"/>
              <w:jc w:val="both"/>
              <w:rPr>
                <w:rFonts w:ascii="Arial" w:hAnsi="Arial" w:cs="Arial"/>
                <w:color w:val="auto"/>
              </w:rPr>
            </w:pPr>
            <w:r w:rsidRPr="00553804">
              <w:rPr>
                <w:rFonts w:ascii="Arial" w:hAnsi="Arial" w:cs="Arial"/>
                <w:color w:val="auto"/>
              </w:rPr>
              <w:t>W ramach kryterium weryfikacji podlega:</w:t>
            </w:r>
          </w:p>
          <w:p w:rsidR="00553804" w:rsidRPr="00553804" w:rsidRDefault="00553804" w:rsidP="00553804">
            <w:pPr>
              <w:pStyle w:val="Default"/>
              <w:numPr>
                <w:ilvl w:val="0"/>
                <w:numId w:val="41"/>
              </w:numPr>
              <w:spacing w:before="60"/>
              <w:jc w:val="both"/>
              <w:rPr>
                <w:rFonts w:ascii="Arial" w:hAnsi="Arial" w:cs="Arial"/>
                <w:color w:val="auto"/>
              </w:rPr>
            </w:pPr>
            <w:r w:rsidRPr="00553804">
              <w:rPr>
                <w:rFonts w:ascii="Arial" w:hAnsi="Arial" w:cs="Arial"/>
                <w:color w:val="auto"/>
              </w:rPr>
              <w:t>Czy wnioskodawca dokonał wyboru obligatoryjnych wskaźników dla danego działania/ poddziałania/typu projektu,</w:t>
            </w:r>
          </w:p>
          <w:p w:rsidR="00553804" w:rsidRPr="00553804" w:rsidRDefault="00553804" w:rsidP="00553804">
            <w:pPr>
              <w:pStyle w:val="Default"/>
              <w:numPr>
                <w:ilvl w:val="0"/>
                <w:numId w:val="41"/>
              </w:numPr>
              <w:spacing w:before="60"/>
              <w:jc w:val="both"/>
              <w:rPr>
                <w:rFonts w:ascii="Arial" w:hAnsi="Arial" w:cs="Arial"/>
                <w:color w:val="auto"/>
              </w:rPr>
            </w:pPr>
            <w:r w:rsidRPr="00553804">
              <w:rPr>
                <w:rFonts w:ascii="Arial" w:hAnsi="Arial" w:cs="Arial"/>
                <w:color w:val="auto"/>
              </w:rPr>
              <w:t>Czy wnioskodawca wybrał wskaźniki adekwatne do typu projektu.</w:t>
            </w:r>
          </w:p>
          <w:p w:rsidR="00F45FFD" w:rsidRDefault="00553804" w:rsidP="00553804">
            <w:pPr>
              <w:spacing w:before="120" w:after="60"/>
              <w:jc w:val="both"/>
              <w:rPr>
                <w:rFonts w:ascii="Arial" w:hAnsi="Arial" w:cs="Arial"/>
              </w:rPr>
            </w:pPr>
            <w:r w:rsidRPr="00553804">
              <w:rPr>
                <w:rFonts w:ascii="Arial" w:hAnsi="Arial" w:cs="Arial"/>
              </w:rPr>
              <w:t>Istnieje możliwość poprawy/ uzupełnienia projektu w zakresie niniejszego kryterium (zgodnie z art. 45 ust. 3 ustawy wdrożeniowej).</w:t>
            </w:r>
          </w:p>
          <w:p w:rsidR="00FB551E" w:rsidRPr="00B20A13" w:rsidRDefault="00FB551E" w:rsidP="00FB551E">
            <w:pPr>
              <w:spacing w:before="120" w:after="60"/>
              <w:jc w:val="both"/>
              <w:rPr>
                <w:rFonts w:ascii="Arial" w:hAnsi="Arial" w:cs="Arial"/>
              </w:rPr>
            </w:pPr>
            <w:r w:rsidRPr="00FB551E">
              <w:rPr>
                <w:rFonts w:ascii="Arial" w:hAnsi="Arial" w:cs="Arial"/>
              </w:rPr>
              <w:t>Wartość wskaźników może ulec zmianie po wyborze projektu do dofinansowania w zakresie w jakim zmiana nie wpływa na wybór projektu do dofinansowania.</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741F03">
        <w:trPr>
          <w:trHeight w:val="274"/>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553804" w:rsidRPr="00553804" w:rsidRDefault="00553804" w:rsidP="00553804">
            <w:pPr>
              <w:spacing w:before="60"/>
              <w:jc w:val="both"/>
              <w:rPr>
                <w:rFonts w:ascii="Arial" w:hAnsi="Arial" w:cs="Arial"/>
              </w:rPr>
            </w:pPr>
            <w:r w:rsidRPr="00553804">
              <w:rPr>
                <w:rFonts w:ascii="Arial" w:hAnsi="Arial" w:cs="Arial"/>
              </w:rPr>
              <w:t>Przez to kryterium należy rozumieć, iż:</w:t>
            </w:r>
          </w:p>
          <w:p w:rsidR="00553804" w:rsidRPr="00553804" w:rsidRDefault="00553804" w:rsidP="00553804">
            <w:pPr>
              <w:pStyle w:val="Akapitzlist"/>
              <w:numPr>
                <w:ilvl w:val="0"/>
                <w:numId w:val="41"/>
              </w:numPr>
              <w:spacing w:before="60"/>
              <w:jc w:val="both"/>
              <w:rPr>
                <w:rFonts w:ascii="Arial" w:hAnsi="Arial" w:cs="Arial"/>
              </w:rPr>
            </w:pPr>
            <w:r w:rsidRPr="00553804">
              <w:rPr>
                <w:rFonts w:ascii="Arial" w:hAnsi="Arial" w:cs="Arial"/>
              </w:rPr>
              <w:t>wszystkie wymagane pola wniosku zawierają poprawne informacje przedstawione zgodnie z „Instrukcj</w:t>
            </w:r>
            <w:r w:rsidR="003007E3">
              <w:rPr>
                <w:rFonts w:ascii="Arial" w:hAnsi="Arial" w:cs="Arial"/>
                <w:lang w:val="pl-PL"/>
              </w:rPr>
              <w:t>ą</w:t>
            </w:r>
            <w:r w:rsidRPr="00553804">
              <w:rPr>
                <w:rFonts w:ascii="Arial" w:hAnsi="Arial" w:cs="Arial"/>
              </w:rPr>
              <w:t xml:space="preserve"> wypełniania wniosku”</w:t>
            </w:r>
            <w:r w:rsidR="003007E3">
              <w:rPr>
                <w:rFonts w:ascii="Arial" w:hAnsi="Arial" w:cs="Arial"/>
                <w:lang w:val="pl-PL"/>
              </w:rPr>
              <w:t>,</w:t>
            </w:r>
            <w:r w:rsidRPr="00553804">
              <w:rPr>
                <w:rFonts w:ascii="Arial" w:hAnsi="Arial" w:cs="Arial"/>
              </w:rPr>
              <w:t xml:space="preserve"> regulaminem </w:t>
            </w:r>
            <w:r w:rsidR="00FB551E">
              <w:rPr>
                <w:rFonts w:ascii="Arial" w:hAnsi="Arial" w:cs="Arial"/>
                <w:lang w:val="pl-PL"/>
              </w:rPr>
              <w:t>naboru</w:t>
            </w:r>
            <w:r w:rsidRPr="00553804">
              <w:rPr>
                <w:rFonts w:ascii="Arial" w:hAnsi="Arial" w:cs="Arial"/>
              </w:rPr>
              <w:t>,</w:t>
            </w:r>
          </w:p>
          <w:p w:rsidR="00F45FFD" w:rsidRDefault="00553804" w:rsidP="00B80E18">
            <w:pPr>
              <w:pStyle w:val="Akapitzlist"/>
              <w:numPr>
                <w:ilvl w:val="0"/>
                <w:numId w:val="41"/>
              </w:numPr>
              <w:spacing w:before="60"/>
              <w:jc w:val="both"/>
              <w:rPr>
                <w:rFonts w:ascii="Arial" w:hAnsi="Arial" w:cs="Arial"/>
              </w:rPr>
            </w:pPr>
            <w:r w:rsidRPr="00553804">
              <w:rPr>
                <w:rFonts w:ascii="Arial" w:hAnsi="Arial" w:cs="Arial"/>
              </w:rPr>
              <w:t>zapisy wniosku są spójne z załącznikami.</w:t>
            </w:r>
          </w:p>
          <w:p w:rsidR="00B80E18" w:rsidRPr="00B80E18" w:rsidRDefault="00B80E18" w:rsidP="00B80E18">
            <w:pPr>
              <w:spacing w:before="120"/>
              <w:jc w:val="both"/>
              <w:rPr>
                <w:rFonts w:ascii="Arial" w:hAnsi="Arial" w:cs="Arial"/>
              </w:rPr>
            </w:pPr>
            <w:r w:rsidRPr="00B80E18">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553804" w:rsidRPr="00553804" w:rsidRDefault="00553804" w:rsidP="00553804">
            <w:pPr>
              <w:spacing w:before="60"/>
              <w:jc w:val="both"/>
              <w:rPr>
                <w:rFonts w:ascii="Arial" w:hAnsi="Arial" w:cs="Arial"/>
              </w:rPr>
            </w:pPr>
            <w:r w:rsidRPr="00553804">
              <w:rPr>
                <w:rFonts w:ascii="Arial" w:hAnsi="Arial" w:cs="Arial"/>
              </w:rPr>
              <w:t>Przez to kryterium należy rozumieć, iż:</w:t>
            </w:r>
          </w:p>
          <w:p w:rsidR="00553804" w:rsidRPr="00553804" w:rsidRDefault="00553804" w:rsidP="00553804">
            <w:pPr>
              <w:pStyle w:val="Akapitzlist"/>
              <w:numPr>
                <w:ilvl w:val="0"/>
                <w:numId w:val="41"/>
              </w:numPr>
              <w:spacing w:before="60"/>
              <w:jc w:val="both"/>
              <w:rPr>
                <w:rFonts w:ascii="Arial" w:hAnsi="Arial" w:cs="Arial"/>
              </w:rPr>
            </w:pPr>
            <w:r w:rsidRPr="00553804">
              <w:rPr>
                <w:rFonts w:ascii="Arial" w:hAnsi="Arial" w:cs="Arial"/>
              </w:rPr>
              <w:t xml:space="preserve">załączniki zostały poprawnie przygotowane – zgodnie z wymogami regulaminu </w:t>
            </w:r>
            <w:r w:rsidR="000517C7">
              <w:rPr>
                <w:rFonts w:ascii="Arial" w:hAnsi="Arial" w:cs="Arial"/>
                <w:lang w:val="pl-PL"/>
              </w:rPr>
              <w:t>naboru</w:t>
            </w:r>
            <w:r w:rsidRPr="00553804">
              <w:rPr>
                <w:rFonts w:ascii="Arial" w:hAnsi="Arial" w:cs="Arial"/>
              </w:rPr>
              <w:t xml:space="preserve"> wraz z załącznikami,</w:t>
            </w:r>
          </w:p>
          <w:p w:rsidR="00553804" w:rsidRPr="00553804" w:rsidRDefault="00553804" w:rsidP="00553804">
            <w:pPr>
              <w:pStyle w:val="Akapitzlist"/>
              <w:numPr>
                <w:ilvl w:val="0"/>
                <w:numId w:val="41"/>
              </w:numPr>
              <w:spacing w:before="60"/>
              <w:jc w:val="both"/>
              <w:rPr>
                <w:rFonts w:ascii="Arial" w:hAnsi="Arial" w:cs="Arial"/>
              </w:rPr>
            </w:pPr>
            <w:r w:rsidRPr="00553804">
              <w:rPr>
                <w:rFonts w:ascii="Arial" w:hAnsi="Arial" w:cs="Arial"/>
              </w:rPr>
              <w:t>uzupełnienia są zgodne z pismem wzywającym do ich dokonania i</w:t>
            </w:r>
            <w:r>
              <w:rPr>
                <w:rFonts w:ascii="Arial" w:hAnsi="Arial" w:cs="Arial"/>
                <w:lang w:val="pl-PL"/>
              </w:rPr>
              <w:t> </w:t>
            </w:r>
            <w:r w:rsidRPr="00553804">
              <w:rPr>
                <w:rFonts w:ascii="Arial" w:hAnsi="Arial" w:cs="Arial"/>
              </w:rPr>
              <w:t>zasadami określonymi w regulaminie naboru.</w:t>
            </w:r>
          </w:p>
          <w:p w:rsidR="00F45FFD" w:rsidRPr="00B20A13" w:rsidRDefault="00553804" w:rsidP="00553804">
            <w:pPr>
              <w:spacing w:before="120" w:after="60"/>
              <w:ind w:left="34" w:hanging="34"/>
              <w:jc w:val="both"/>
              <w:rPr>
                <w:rFonts w:ascii="Arial" w:hAnsi="Arial" w:cs="Arial"/>
                <w:sz w:val="22"/>
                <w:szCs w:val="22"/>
              </w:rPr>
            </w:pPr>
            <w:r w:rsidRPr="00553804">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bl>
    <w:p w:rsidR="00637A37" w:rsidRDefault="00637A37" w:rsidP="0045355A">
      <w:pPr>
        <w:jc w:val="both"/>
        <w:rPr>
          <w:rFonts w:ascii="Arial" w:hAnsi="Arial" w:cs="Arial"/>
          <w:sz w:val="22"/>
          <w:szCs w:val="22"/>
        </w:rPr>
      </w:pPr>
    </w:p>
    <w:p w:rsidR="008279A2" w:rsidRDefault="008279A2" w:rsidP="0045355A">
      <w:pPr>
        <w:jc w:val="both"/>
        <w:rPr>
          <w:rFonts w:ascii="Arial" w:hAnsi="Arial" w:cs="Arial"/>
          <w:sz w:val="22"/>
          <w:szCs w:val="22"/>
        </w:rPr>
      </w:pPr>
    </w:p>
    <w:p w:rsidR="00320850" w:rsidRDefault="00320850" w:rsidP="0045355A">
      <w:pPr>
        <w:jc w:val="both"/>
        <w:rPr>
          <w:rFonts w:ascii="Arial" w:hAnsi="Arial" w:cs="Arial"/>
          <w:sz w:val="22"/>
          <w:szCs w:val="22"/>
        </w:rPr>
      </w:pPr>
    </w:p>
    <w:p w:rsidR="00207508" w:rsidRDefault="00207508" w:rsidP="00320850">
      <w:pPr>
        <w:pStyle w:val="Nagwek3"/>
        <w:numPr>
          <w:ilvl w:val="0"/>
          <w:numId w:val="7"/>
        </w:numPr>
        <w:spacing w:before="0" w:after="120"/>
        <w:rPr>
          <w:lang w:val="pl-PL"/>
        </w:rPr>
      </w:pPr>
      <w:bookmarkStart w:id="5" w:name="_Toc427917169"/>
      <w:bookmarkStart w:id="6" w:name="_Toc429548467"/>
      <w:bookmarkStart w:id="7" w:name="_Toc427917168"/>
      <w:bookmarkStart w:id="8" w:name="_Toc429548466"/>
      <w:r w:rsidRPr="00781FCD">
        <w:t xml:space="preserve">KRYTERIA </w:t>
      </w:r>
      <w:r w:rsidRPr="009616B3">
        <w:t>SPECYFICZNE</w:t>
      </w:r>
      <w:bookmarkEnd w:id="5"/>
      <w:bookmarkEnd w:id="6"/>
      <w:r w:rsidRPr="009616B3">
        <w:t xml:space="preserve"> – OCENA FORMALNA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3"/>
        <w:gridCol w:w="7938"/>
        <w:gridCol w:w="1134"/>
      </w:tblGrid>
      <w:tr w:rsidR="00637A37" w:rsidRPr="00A17E82" w:rsidTr="003878B0">
        <w:trPr>
          <w:trHeight w:val="896"/>
        </w:trPr>
        <w:tc>
          <w:tcPr>
            <w:tcW w:w="14425" w:type="dxa"/>
            <w:gridSpan w:val="4"/>
            <w:tcBorders>
              <w:bottom w:val="single" w:sz="4" w:space="0" w:color="auto"/>
            </w:tcBorders>
            <w:shd w:val="clear" w:color="auto" w:fill="D9D9D9"/>
            <w:vAlign w:val="center"/>
          </w:tcPr>
          <w:p w:rsidR="00162DF7" w:rsidRPr="00A17E82" w:rsidRDefault="0086129A" w:rsidP="001C208B">
            <w:pPr>
              <w:spacing w:before="60" w:after="60"/>
              <w:jc w:val="center"/>
              <w:rPr>
                <w:rFonts w:ascii="Arial" w:hAnsi="Arial" w:cs="Arial"/>
                <w:b/>
                <w:bCs/>
                <w:sz w:val="22"/>
                <w:szCs w:val="22"/>
              </w:rPr>
            </w:pPr>
            <w:r w:rsidRPr="0086129A">
              <w:rPr>
                <w:rFonts w:ascii="Arial" w:eastAsia="PMingLiU" w:hAnsi="Arial" w:cs="Arial"/>
                <w:b/>
                <w:sz w:val="22"/>
                <w:szCs w:val="22"/>
              </w:rPr>
              <w:t>DZIAŁANIE 5.3 INFRASTRUKTURA KOLEJOWA</w:t>
            </w:r>
          </w:p>
        </w:tc>
      </w:tr>
      <w:tr w:rsidR="00637A37" w:rsidRPr="00A17E82" w:rsidTr="003878B0">
        <w:trPr>
          <w:trHeight w:val="545"/>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p>
        </w:tc>
      </w:tr>
      <w:tr w:rsidR="0086129A" w:rsidRPr="00A17E82" w:rsidTr="00AC5009">
        <w:trPr>
          <w:trHeight w:val="545"/>
        </w:trPr>
        <w:tc>
          <w:tcPr>
            <w:tcW w:w="14425" w:type="dxa"/>
            <w:gridSpan w:val="4"/>
            <w:shd w:val="clear" w:color="auto" w:fill="D9D9D9"/>
            <w:vAlign w:val="center"/>
          </w:tcPr>
          <w:p w:rsidR="0086129A" w:rsidRPr="00A17E82" w:rsidRDefault="001D37D5" w:rsidP="00637A37">
            <w:pPr>
              <w:jc w:val="center"/>
              <w:rPr>
                <w:rFonts w:ascii="Arial" w:hAnsi="Arial" w:cs="Arial"/>
                <w:b/>
                <w:bCs/>
                <w:sz w:val="22"/>
                <w:szCs w:val="22"/>
              </w:rPr>
            </w:pPr>
            <w:r w:rsidRPr="001D37D5">
              <w:rPr>
                <w:rFonts w:ascii="Arial" w:hAnsi="Arial" w:cs="Arial"/>
                <w:b/>
                <w:bCs/>
                <w:sz w:val="22"/>
                <w:szCs w:val="22"/>
              </w:rPr>
              <w:t>Projekty z zakresu dokumentacji przedprojektowej i projektowej kolejowej infrastruktury technicznej o znaczeniu regionalnym</w:t>
            </w:r>
          </w:p>
        </w:tc>
      </w:tr>
      <w:tr w:rsidR="00C5048E" w:rsidRPr="00A17E82" w:rsidTr="003878B0">
        <w:trPr>
          <w:trHeight w:val="134"/>
        </w:trPr>
        <w:tc>
          <w:tcPr>
            <w:tcW w:w="740" w:type="dxa"/>
            <w:shd w:val="clear" w:color="auto" w:fill="auto"/>
            <w:vAlign w:val="center"/>
          </w:tcPr>
          <w:p w:rsidR="00C5048E" w:rsidRPr="00CC09BA" w:rsidRDefault="0086129A" w:rsidP="002161B1">
            <w:pPr>
              <w:ind w:right="34"/>
              <w:jc w:val="center"/>
              <w:rPr>
                <w:rFonts w:ascii="Arial" w:hAnsi="Arial"/>
                <w:szCs w:val="22"/>
              </w:rPr>
            </w:pPr>
            <w:r w:rsidRPr="00CC09BA">
              <w:rPr>
                <w:rFonts w:ascii="Arial" w:hAnsi="Arial"/>
                <w:szCs w:val="22"/>
              </w:rPr>
              <w:t>1.</w:t>
            </w:r>
          </w:p>
        </w:tc>
        <w:tc>
          <w:tcPr>
            <w:tcW w:w="4613" w:type="dxa"/>
            <w:shd w:val="clear" w:color="auto" w:fill="auto"/>
            <w:vAlign w:val="center"/>
          </w:tcPr>
          <w:p w:rsidR="00C5048E" w:rsidRPr="00CC09BA" w:rsidRDefault="0086129A" w:rsidP="00297548">
            <w:pPr>
              <w:rPr>
                <w:rFonts w:ascii="Arial" w:hAnsi="Arial" w:cs="Arial"/>
                <w:szCs w:val="22"/>
              </w:rPr>
            </w:pPr>
            <w:r w:rsidRPr="00CC09BA">
              <w:rPr>
                <w:rFonts w:ascii="Arial" w:hAnsi="Arial" w:cs="Arial"/>
                <w:szCs w:val="22"/>
              </w:rPr>
              <w:t>Zgodność z regionalnym planem transportowym</w:t>
            </w:r>
          </w:p>
        </w:tc>
        <w:tc>
          <w:tcPr>
            <w:tcW w:w="7938" w:type="dxa"/>
            <w:shd w:val="clear" w:color="auto" w:fill="auto"/>
            <w:vAlign w:val="center"/>
          </w:tcPr>
          <w:p w:rsidR="001D37D5" w:rsidRDefault="001D37D5" w:rsidP="001D37D5">
            <w:pPr>
              <w:spacing w:before="60" w:after="60"/>
              <w:jc w:val="both"/>
              <w:rPr>
                <w:rFonts w:ascii="Arial" w:hAnsi="Arial" w:cs="Arial"/>
                <w:szCs w:val="26"/>
              </w:rPr>
            </w:pPr>
            <w:r w:rsidRPr="00660EE8">
              <w:rPr>
                <w:rFonts w:ascii="Arial" w:hAnsi="Arial" w:cs="Arial"/>
                <w:szCs w:val="26"/>
              </w:rPr>
              <w:t>Kryterium weryfikować będzie czy dokumentacja będąca przedmiotem projektu dotyczy inwestycji ujętej w regionalnym planie transportowym, którego rolę pełni Program Strategiczny Rozwoju Transportu Województwa Podkarpackiego do</w:t>
            </w:r>
            <w:r>
              <w:rPr>
                <w:rFonts w:ascii="Arial" w:hAnsi="Arial" w:cs="Arial"/>
                <w:szCs w:val="26"/>
              </w:rPr>
              <w:t xml:space="preserve"> </w:t>
            </w:r>
            <w:r w:rsidRPr="00660EE8">
              <w:rPr>
                <w:rFonts w:ascii="Arial" w:hAnsi="Arial" w:cs="Arial"/>
                <w:szCs w:val="26"/>
              </w:rPr>
              <w:t>roku 2023 (zgodność projektu z listą przedsięwzięć kolejowych).</w:t>
            </w:r>
          </w:p>
          <w:p w:rsidR="001D37D5" w:rsidRDefault="001D37D5" w:rsidP="001D37D5">
            <w:pPr>
              <w:spacing w:before="60" w:after="60"/>
              <w:jc w:val="both"/>
              <w:rPr>
                <w:rFonts w:ascii="Arial" w:hAnsi="Arial" w:cs="Arial"/>
                <w:szCs w:val="26"/>
              </w:rPr>
            </w:pPr>
            <w:r w:rsidRPr="00660EE8">
              <w:rPr>
                <w:rFonts w:ascii="Arial" w:hAnsi="Arial" w:cs="Arial"/>
                <w:szCs w:val="26"/>
              </w:rPr>
              <w:t>Kryterium będzie oceniane w oparciu o zapisy wniosku o dofinansowanie wraz z załącznikami.</w:t>
            </w:r>
          </w:p>
          <w:p w:rsidR="00C5048E" w:rsidRPr="001D37D5" w:rsidRDefault="001D37D5" w:rsidP="001D37D5">
            <w:pPr>
              <w:spacing w:before="60" w:after="60"/>
              <w:jc w:val="both"/>
            </w:pPr>
            <w:r w:rsidRPr="00660EE8">
              <w:rPr>
                <w:rFonts w:ascii="Arial" w:hAnsi="Arial" w:cs="Arial"/>
                <w:szCs w:val="26"/>
              </w:rPr>
              <w:t>Istnieje możliwość poprawy / uzupełnienia projektu w zakresie niniejszego kryterium (zgodnie z art. 45 ust. 3 ustawy wdrożeniowej)</w:t>
            </w:r>
            <w:r w:rsidR="009370D1">
              <w:rPr>
                <w:rFonts w:ascii="Arial" w:hAnsi="Arial" w:cs="Arial"/>
                <w:szCs w:val="26"/>
              </w:rPr>
              <w:t>.</w:t>
            </w:r>
          </w:p>
        </w:tc>
        <w:tc>
          <w:tcPr>
            <w:tcW w:w="1134" w:type="dxa"/>
            <w:shd w:val="clear" w:color="auto" w:fill="auto"/>
            <w:vAlign w:val="center"/>
          </w:tcPr>
          <w:p w:rsidR="00C5048E" w:rsidRPr="00A17E82" w:rsidRDefault="00C5048E" w:rsidP="00637A37">
            <w:pPr>
              <w:rPr>
                <w:rFonts w:ascii="Arial" w:hAnsi="Arial"/>
                <w:sz w:val="22"/>
                <w:szCs w:val="22"/>
              </w:rPr>
            </w:pPr>
          </w:p>
        </w:tc>
      </w:tr>
      <w:tr w:rsidR="0086129A" w:rsidRPr="00A17E82" w:rsidTr="003878B0">
        <w:trPr>
          <w:trHeight w:val="134"/>
        </w:trPr>
        <w:tc>
          <w:tcPr>
            <w:tcW w:w="740" w:type="dxa"/>
            <w:shd w:val="clear" w:color="auto" w:fill="auto"/>
            <w:vAlign w:val="center"/>
          </w:tcPr>
          <w:p w:rsidR="0086129A" w:rsidRPr="00CC09BA" w:rsidRDefault="0086129A" w:rsidP="002161B1">
            <w:pPr>
              <w:ind w:right="34"/>
              <w:jc w:val="center"/>
              <w:rPr>
                <w:rFonts w:ascii="Arial" w:hAnsi="Arial"/>
                <w:szCs w:val="22"/>
              </w:rPr>
            </w:pPr>
            <w:r w:rsidRPr="00CC09BA">
              <w:rPr>
                <w:rFonts w:ascii="Arial" w:hAnsi="Arial"/>
                <w:szCs w:val="22"/>
              </w:rPr>
              <w:t>2.</w:t>
            </w:r>
          </w:p>
        </w:tc>
        <w:tc>
          <w:tcPr>
            <w:tcW w:w="4613" w:type="dxa"/>
            <w:shd w:val="clear" w:color="auto" w:fill="auto"/>
            <w:vAlign w:val="center"/>
          </w:tcPr>
          <w:p w:rsidR="0086129A" w:rsidRPr="00CC09BA" w:rsidRDefault="0086129A" w:rsidP="00297548">
            <w:pPr>
              <w:rPr>
                <w:rFonts w:ascii="Arial" w:hAnsi="Arial" w:cs="Arial"/>
                <w:szCs w:val="22"/>
              </w:rPr>
            </w:pPr>
            <w:r w:rsidRPr="00CC09BA">
              <w:rPr>
                <w:rFonts w:ascii="Arial" w:hAnsi="Arial" w:cs="Arial"/>
                <w:szCs w:val="22"/>
              </w:rPr>
              <w:t>Infrastruktura dworcowa</w:t>
            </w:r>
          </w:p>
        </w:tc>
        <w:tc>
          <w:tcPr>
            <w:tcW w:w="7938" w:type="dxa"/>
            <w:shd w:val="clear" w:color="auto" w:fill="auto"/>
            <w:vAlign w:val="center"/>
          </w:tcPr>
          <w:p w:rsidR="001D37D5" w:rsidRPr="001D37D5" w:rsidRDefault="001D37D5" w:rsidP="001D37D5">
            <w:pPr>
              <w:spacing w:before="60" w:after="60"/>
              <w:jc w:val="both"/>
              <w:rPr>
                <w:rFonts w:ascii="Arial" w:hAnsi="Arial" w:cs="Arial"/>
                <w:szCs w:val="26"/>
              </w:rPr>
            </w:pPr>
            <w:r w:rsidRPr="00660EE8">
              <w:rPr>
                <w:rFonts w:ascii="Arial" w:hAnsi="Arial" w:cs="Arial"/>
                <w:szCs w:val="26"/>
              </w:rPr>
              <w:t>Kryterium ma na celu weryfikację czy w</w:t>
            </w:r>
            <w:r>
              <w:rPr>
                <w:rFonts w:ascii="Arial" w:hAnsi="Arial" w:cs="Arial"/>
                <w:szCs w:val="26"/>
              </w:rPr>
              <w:t xml:space="preserve"> </w:t>
            </w:r>
            <w:r w:rsidRPr="00660EE8">
              <w:rPr>
                <w:rFonts w:ascii="Arial" w:hAnsi="Arial" w:cs="Arial"/>
                <w:szCs w:val="26"/>
              </w:rPr>
              <w:t>przypadku objęcia dokumentacją robót budowlanych i/lub wyposażenia dotyczącego kolejowej infrastruktury dworcowej stanowią one element projektu z</w:t>
            </w:r>
            <w:r>
              <w:rPr>
                <w:rFonts w:ascii="Arial" w:hAnsi="Arial" w:cs="Arial"/>
                <w:szCs w:val="26"/>
              </w:rPr>
              <w:t xml:space="preserve"> </w:t>
            </w:r>
            <w:r w:rsidRPr="00660EE8">
              <w:rPr>
                <w:rFonts w:ascii="Arial" w:hAnsi="Arial" w:cs="Arial"/>
                <w:szCs w:val="26"/>
              </w:rPr>
              <w:t xml:space="preserve">zakresu robót </w:t>
            </w:r>
            <w:r w:rsidRPr="00660EE8">
              <w:rPr>
                <w:rFonts w:ascii="Arial" w:hAnsi="Arial" w:cs="Arial"/>
                <w:szCs w:val="26"/>
              </w:rPr>
              <w:lastRenderedPageBreak/>
              <w:t>budowlanych i/lub wyposażenia dotyczącego modernizacji/ rehabilitacji/ rewitalizacji infrastruktury kolejowej o</w:t>
            </w:r>
            <w:r w:rsidR="00B2003F">
              <w:rPr>
                <w:rFonts w:ascii="Arial" w:hAnsi="Arial" w:cs="Arial"/>
                <w:szCs w:val="26"/>
              </w:rPr>
              <w:t xml:space="preserve"> </w:t>
            </w:r>
            <w:bookmarkStart w:id="9" w:name="_GoBack"/>
            <w:bookmarkEnd w:id="9"/>
            <w:r w:rsidRPr="00660EE8">
              <w:rPr>
                <w:rFonts w:ascii="Arial" w:hAnsi="Arial" w:cs="Arial"/>
                <w:szCs w:val="26"/>
              </w:rPr>
              <w:t>znaczeniu regionalnym.</w:t>
            </w:r>
          </w:p>
          <w:p w:rsidR="001D37D5" w:rsidRPr="001D37D5" w:rsidRDefault="001D37D5" w:rsidP="001D37D5">
            <w:pPr>
              <w:spacing w:before="60" w:after="60"/>
              <w:jc w:val="both"/>
              <w:rPr>
                <w:rFonts w:ascii="Arial" w:hAnsi="Arial" w:cs="Arial"/>
                <w:szCs w:val="26"/>
              </w:rPr>
            </w:pPr>
            <w:r w:rsidRPr="00660EE8">
              <w:rPr>
                <w:rFonts w:ascii="Arial" w:hAnsi="Arial" w:cs="Arial"/>
                <w:szCs w:val="26"/>
              </w:rPr>
              <w:t>Kryterium będzie oceniane w oparciu o zapisy wniosku o dofinansowanie wraz z załącznikami.</w:t>
            </w:r>
          </w:p>
          <w:p w:rsidR="0086129A" w:rsidRPr="001D37D5" w:rsidRDefault="001D37D5" w:rsidP="001D37D5">
            <w:pPr>
              <w:spacing w:before="60" w:after="60"/>
              <w:jc w:val="both"/>
            </w:pPr>
            <w:r w:rsidRPr="00660EE8">
              <w:rPr>
                <w:rFonts w:ascii="Arial" w:hAnsi="Arial" w:cs="Arial"/>
                <w:szCs w:val="26"/>
              </w:rPr>
              <w:t>Istnieje możliwość poprawy / uzupełnienia projektu w zakresie niniejszego kryterium (zgodnie z art. 45 ust. 3 ustawy wdrożeniowej</w:t>
            </w:r>
            <w:r w:rsidR="009370D1">
              <w:rPr>
                <w:rFonts w:ascii="Arial" w:hAnsi="Arial" w:cs="Arial"/>
                <w:szCs w:val="26"/>
              </w:rPr>
              <w:t>).</w:t>
            </w:r>
          </w:p>
        </w:tc>
        <w:tc>
          <w:tcPr>
            <w:tcW w:w="1134" w:type="dxa"/>
            <w:shd w:val="clear" w:color="auto" w:fill="auto"/>
            <w:vAlign w:val="center"/>
          </w:tcPr>
          <w:p w:rsidR="0086129A" w:rsidRPr="00A17E82" w:rsidRDefault="0086129A" w:rsidP="00637A37">
            <w:pPr>
              <w:rPr>
                <w:rFonts w:ascii="Arial" w:hAnsi="Arial"/>
                <w:sz w:val="22"/>
                <w:szCs w:val="22"/>
              </w:rPr>
            </w:pPr>
          </w:p>
        </w:tc>
      </w:tr>
      <w:bookmarkEnd w:id="1"/>
      <w:bookmarkEnd w:id="7"/>
      <w:bookmarkEnd w:id="8"/>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18" w:rsidRDefault="00FB0418" w:rsidP="0045355A">
      <w:r>
        <w:separator/>
      </w:r>
    </w:p>
  </w:endnote>
  <w:endnote w:type="continuationSeparator" w:id="0">
    <w:p w:rsidR="00FB0418" w:rsidRDefault="00FB0418"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B2003F">
      <w:rPr>
        <w:noProof/>
      </w:rPr>
      <w:t>5</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18" w:rsidRDefault="00FB0418" w:rsidP="0045355A">
      <w:r>
        <w:separator/>
      </w:r>
    </w:p>
  </w:footnote>
  <w:footnote w:type="continuationSeparator" w:id="0">
    <w:p w:rsidR="00FB0418" w:rsidRDefault="00FB0418" w:rsidP="0045355A">
      <w:r>
        <w:continuationSeparator/>
      </w:r>
    </w:p>
  </w:footnote>
  <w:footnote w:id="1">
    <w:p w:rsidR="00BC5755" w:rsidRPr="00BC5755" w:rsidRDefault="00BC5755">
      <w:pPr>
        <w:pStyle w:val="Tekstprzypisudolnego"/>
        <w:rPr>
          <w:lang w:val="pl-PL"/>
        </w:rPr>
      </w:pPr>
      <w:r>
        <w:rPr>
          <w:rStyle w:val="Odwoanieprzypisudolnego"/>
        </w:rPr>
        <w:footnoteRef/>
      </w:r>
      <w:r>
        <w:t xml:space="preserve"> </w:t>
      </w:r>
      <w:r w:rsidRPr="006C2FB9">
        <w:rPr>
          <w:rFonts w:ascii="Arial" w:hAnsi="Arial" w:cs="Arial"/>
          <w:color w:val="000000"/>
          <w:sz w:val="18"/>
          <w:szCs w:val="18"/>
          <w:lang w:val="pl-PL"/>
        </w:rPr>
        <w:t>Jeśli dotyczy tzn. jeśli w SZOOP obowiązującym na dzień ogłoszenia naboru wniosków /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517C7"/>
    <w:rsid w:val="000837F2"/>
    <w:rsid w:val="00085C40"/>
    <w:rsid w:val="000A6BB6"/>
    <w:rsid w:val="000B2B6A"/>
    <w:rsid w:val="00161F4F"/>
    <w:rsid w:val="00162DF7"/>
    <w:rsid w:val="0016493C"/>
    <w:rsid w:val="001665CD"/>
    <w:rsid w:val="00176558"/>
    <w:rsid w:val="0018248E"/>
    <w:rsid w:val="001C208B"/>
    <w:rsid w:val="001C78B3"/>
    <w:rsid w:val="001D37D5"/>
    <w:rsid w:val="001D59DB"/>
    <w:rsid w:val="002009CA"/>
    <w:rsid w:val="00207508"/>
    <w:rsid w:val="002161B1"/>
    <w:rsid w:val="00224B6D"/>
    <w:rsid w:val="00226C31"/>
    <w:rsid w:val="00231491"/>
    <w:rsid w:val="00252EAF"/>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7425B"/>
    <w:rsid w:val="00375B23"/>
    <w:rsid w:val="0037615C"/>
    <w:rsid w:val="0038381B"/>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C4B4C"/>
    <w:rsid w:val="004E3C2B"/>
    <w:rsid w:val="004E6C36"/>
    <w:rsid w:val="00502E87"/>
    <w:rsid w:val="00544398"/>
    <w:rsid w:val="00553804"/>
    <w:rsid w:val="00555C26"/>
    <w:rsid w:val="00565013"/>
    <w:rsid w:val="005810AC"/>
    <w:rsid w:val="00582D2F"/>
    <w:rsid w:val="005845E9"/>
    <w:rsid w:val="005F0E65"/>
    <w:rsid w:val="00611E14"/>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405C8"/>
    <w:rsid w:val="00741F03"/>
    <w:rsid w:val="00744793"/>
    <w:rsid w:val="00750C0B"/>
    <w:rsid w:val="00776C8B"/>
    <w:rsid w:val="007A1292"/>
    <w:rsid w:val="007B3C73"/>
    <w:rsid w:val="007C7515"/>
    <w:rsid w:val="007D160A"/>
    <w:rsid w:val="007D33E7"/>
    <w:rsid w:val="008279A2"/>
    <w:rsid w:val="00840141"/>
    <w:rsid w:val="0084447A"/>
    <w:rsid w:val="00853685"/>
    <w:rsid w:val="00853CF2"/>
    <w:rsid w:val="00854B5D"/>
    <w:rsid w:val="0086129A"/>
    <w:rsid w:val="008B7844"/>
    <w:rsid w:val="008C717F"/>
    <w:rsid w:val="008F5C29"/>
    <w:rsid w:val="009023FA"/>
    <w:rsid w:val="009234D8"/>
    <w:rsid w:val="00932018"/>
    <w:rsid w:val="009370D1"/>
    <w:rsid w:val="00937AA9"/>
    <w:rsid w:val="0094103C"/>
    <w:rsid w:val="00960EE3"/>
    <w:rsid w:val="0096554F"/>
    <w:rsid w:val="00972A55"/>
    <w:rsid w:val="00983186"/>
    <w:rsid w:val="0099219E"/>
    <w:rsid w:val="009A713C"/>
    <w:rsid w:val="009B222F"/>
    <w:rsid w:val="009C772E"/>
    <w:rsid w:val="009F2EF8"/>
    <w:rsid w:val="00A24B36"/>
    <w:rsid w:val="00A51C38"/>
    <w:rsid w:val="00A641E5"/>
    <w:rsid w:val="00A74278"/>
    <w:rsid w:val="00A753BA"/>
    <w:rsid w:val="00AC3BD9"/>
    <w:rsid w:val="00AE10CC"/>
    <w:rsid w:val="00AE2663"/>
    <w:rsid w:val="00AF7FAC"/>
    <w:rsid w:val="00B1073B"/>
    <w:rsid w:val="00B11526"/>
    <w:rsid w:val="00B2003F"/>
    <w:rsid w:val="00B20A13"/>
    <w:rsid w:val="00B354F0"/>
    <w:rsid w:val="00B37B01"/>
    <w:rsid w:val="00B453ED"/>
    <w:rsid w:val="00B4583D"/>
    <w:rsid w:val="00B4782B"/>
    <w:rsid w:val="00B51722"/>
    <w:rsid w:val="00B549A1"/>
    <w:rsid w:val="00B74C59"/>
    <w:rsid w:val="00B80E18"/>
    <w:rsid w:val="00B91880"/>
    <w:rsid w:val="00B94621"/>
    <w:rsid w:val="00B95A00"/>
    <w:rsid w:val="00BC3CAC"/>
    <w:rsid w:val="00BC5755"/>
    <w:rsid w:val="00BD4316"/>
    <w:rsid w:val="00BF5027"/>
    <w:rsid w:val="00BF68DA"/>
    <w:rsid w:val="00C176FF"/>
    <w:rsid w:val="00C5048E"/>
    <w:rsid w:val="00C5267D"/>
    <w:rsid w:val="00CC09BA"/>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C0C0E"/>
    <w:rsid w:val="00DF09FC"/>
    <w:rsid w:val="00E13B2A"/>
    <w:rsid w:val="00E158BA"/>
    <w:rsid w:val="00E20FAD"/>
    <w:rsid w:val="00E31AD8"/>
    <w:rsid w:val="00E3246B"/>
    <w:rsid w:val="00E66AE9"/>
    <w:rsid w:val="00E76E57"/>
    <w:rsid w:val="00E84DC4"/>
    <w:rsid w:val="00EA0A2B"/>
    <w:rsid w:val="00EA0BED"/>
    <w:rsid w:val="00EC6626"/>
    <w:rsid w:val="00ED0F36"/>
    <w:rsid w:val="00EE0B04"/>
    <w:rsid w:val="00F00D2A"/>
    <w:rsid w:val="00F0476C"/>
    <w:rsid w:val="00F30D06"/>
    <w:rsid w:val="00F45FFD"/>
    <w:rsid w:val="00F4777A"/>
    <w:rsid w:val="00F53BFA"/>
    <w:rsid w:val="00F648BA"/>
    <w:rsid w:val="00F64FC2"/>
    <w:rsid w:val="00F7311B"/>
    <w:rsid w:val="00F76AA9"/>
    <w:rsid w:val="00F862E7"/>
    <w:rsid w:val="00FB0418"/>
    <w:rsid w:val="00FB43FB"/>
    <w:rsid w:val="00FB551E"/>
    <w:rsid w:val="00FC01B2"/>
    <w:rsid w:val="00FC15E5"/>
    <w:rsid w:val="00FD5672"/>
    <w:rsid w:val="00FE1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20D2-DB45-4C81-B58A-FB5BE97F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1326</Words>
  <Characters>7957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Lewandowski Sebastian</cp:lastModifiedBy>
  <cp:revision>18</cp:revision>
  <cp:lastPrinted>2018-10-29T08:26:00Z</cp:lastPrinted>
  <dcterms:created xsi:type="dcterms:W3CDTF">2018-05-10T06:13:00Z</dcterms:created>
  <dcterms:modified xsi:type="dcterms:W3CDTF">2018-11-02T12:10:00Z</dcterms:modified>
</cp:coreProperties>
</file>