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C81D54">
        <w:rPr>
          <w:rFonts w:ascii="Arial" w:hAnsi="Arial" w:cs="Arial"/>
          <w:b/>
          <w:sz w:val="40"/>
          <w:szCs w:val="40"/>
        </w:rPr>
        <w:t>1</w:t>
      </w:r>
      <w:r w:rsidR="00294484" w:rsidRPr="00294484">
        <w:rPr>
          <w:rFonts w:ascii="Arial" w:hAnsi="Arial" w:cs="Arial"/>
          <w:b/>
          <w:sz w:val="40"/>
          <w:szCs w:val="40"/>
        </w:rPr>
        <w:t xml:space="preserve"> INFRASTRUKTURA </w:t>
      </w:r>
      <w:r w:rsidR="00C81D54">
        <w:rPr>
          <w:rFonts w:ascii="Arial" w:hAnsi="Arial" w:cs="Arial"/>
          <w:b/>
          <w:sz w:val="40"/>
          <w:szCs w:val="40"/>
        </w:rPr>
        <w:t>DROGO</w:t>
      </w:r>
      <w:r w:rsidR="00294484" w:rsidRPr="00294484">
        <w:rPr>
          <w:rFonts w:ascii="Arial" w:hAnsi="Arial" w:cs="Arial"/>
          <w:b/>
          <w:sz w:val="40"/>
          <w:szCs w:val="40"/>
        </w:rPr>
        <w:t xml:space="preserve">WA </w:t>
      </w:r>
    </w:p>
    <w:p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C81D54">
        <w:rPr>
          <w:rFonts w:ascii="Arial" w:hAnsi="Arial" w:cs="Arial"/>
          <w:b/>
          <w:sz w:val="40"/>
          <w:szCs w:val="40"/>
        </w:rPr>
        <w:t>DRÓG WOJEWÓDZKICH</w:t>
      </w: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252FA9" w:rsidRDefault="002344C4" w:rsidP="00BD4316">
            <w:pPr>
              <w:pStyle w:val="Default"/>
              <w:spacing w:before="60" w:after="60"/>
              <w:ind w:left="175" w:hanging="175"/>
              <w:jc w:val="both"/>
              <w:rPr>
                <w:rFonts w:ascii="Arial" w:hAnsi="Arial" w:cs="Arial"/>
                <w:color w:val="auto"/>
              </w:rPr>
            </w:pPr>
            <w:r>
              <w:rPr>
                <w:rFonts w:ascii="Arial" w:hAnsi="Arial" w:cs="Arial"/>
                <w:color w:val="auto"/>
              </w:rPr>
              <w:t xml:space="preserve">W ramach kryterium weryfikowane będzie czy </w:t>
            </w:r>
            <w:r w:rsidR="00BD4316" w:rsidRPr="00252FA9">
              <w:rPr>
                <w:rFonts w:ascii="Arial" w:hAnsi="Arial" w:cs="Arial"/>
                <w:color w:val="auto"/>
              </w:rPr>
              <w:t>na dzień złożenia wniosku:</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252FA9" w:rsidRDefault="002344C4" w:rsidP="00553804">
            <w:pPr>
              <w:spacing w:before="60" w:after="60"/>
              <w:jc w:val="both"/>
              <w:rPr>
                <w:rFonts w:ascii="Arial" w:hAnsi="Arial" w:cs="Arial"/>
                <w:color w:val="000000"/>
              </w:rPr>
            </w:pPr>
            <w:r>
              <w:rPr>
                <w:rFonts w:ascii="Arial" w:hAnsi="Arial" w:cs="Arial"/>
                <w:color w:val="000000"/>
              </w:rPr>
              <w:t>W ramach kryterium weryfikowane będzie czy</w:t>
            </w:r>
            <w:r w:rsidR="00FE1AEB" w:rsidRPr="00252FA9">
              <w:rPr>
                <w:rFonts w:ascii="Arial" w:hAnsi="Arial" w:cs="Arial"/>
                <w:color w:val="000000"/>
              </w:rPr>
              <w:t>:</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 xml:space="preserve">ramach danego działania / poddziałania wymienionych </w:t>
            </w:r>
            <w:r w:rsidR="002344C4">
              <w:rPr>
                <w:rFonts w:ascii="Arial" w:hAnsi="Arial" w:cs="Arial"/>
                <w:color w:val="000000"/>
                <w:lang w:val="pl-PL" w:eastAsia="pl-PL"/>
              </w:rPr>
              <w:br/>
            </w:r>
            <w:r w:rsidRPr="00252FA9">
              <w:rPr>
                <w:rFonts w:ascii="Arial" w:hAnsi="Arial" w:cs="Arial"/>
                <w:color w:val="000000"/>
                <w:lang w:val="pl-PL" w:eastAsia="pl-PL"/>
              </w:rPr>
              <w:t>w SZOOP obowiązującym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lastRenderedPageBreak/>
              <w:t>uzupełnienia do wniosku zostały dokonane prawidłowo, tj. błędy wskazane w wezwaniu zostały usunięte,</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973D89" w:rsidRPr="00252FA9" w:rsidRDefault="002344C4" w:rsidP="00973D89">
            <w:pPr>
              <w:pStyle w:val="Akapitzlist"/>
              <w:spacing w:before="60" w:after="60"/>
              <w:ind w:left="0"/>
              <w:jc w:val="both"/>
              <w:rPr>
                <w:rFonts w:ascii="Arial" w:hAnsi="Arial" w:cs="Arial"/>
              </w:rPr>
            </w:pPr>
            <w:r>
              <w:rPr>
                <w:rFonts w:ascii="Arial" w:hAnsi="Arial" w:cs="Arial"/>
              </w:rPr>
              <w:t xml:space="preserve">W ramach </w:t>
            </w:r>
            <w:r w:rsidR="00973D89" w:rsidRPr="00252FA9">
              <w:rPr>
                <w:rFonts w:ascii="Arial" w:hAnsi="Arial" w:cs="Arial"/>
              </w:rPr>
              <w:t xml:space="preserve">kryterium </w:t>
            </w:r>
            <w:r>
              <w:rPr>
                <w:rFonts w:ascii="Arial" w:hAnsi="Arial" w:cs="Arial"/>
                <w:lang w:val="pl-PL"/>
              </w:rPr>
              <w:t xml:space="preserve">weryfikowane będzie czy </w:t>
            </w:r>
            <w:r>
              <w:rPr>
                <w:rFonts w:ascii="Arial" w:hAnsi="Arial" w:cs="Arial"/>
              </w:rPr>
              <w:t xml:space="preserve">zakres finansowy projektu jest </w:t>
            </w:r>
            <w:r w:rsidR="00973D89" w:rsidRPr="00252FA9">
              <w:rPr>
                <w:rFonts w:ascii="Arial" w:hAnsi="Arial" w:cs="Arial"/>
              </w:rPr>
              <w:t>zgodny z kryteriami brzegowymi</w:t>
            </w:r>
            <w:r w:rsidR="00973D89" w:rsidRPr="00252FA9">
              <w:rPr>
                <w:rFonts w:ascii="Arial" w:hAnsi="Arial" w:cs="Arial"/>
                <w:vertAlign w:val="superscript"/>
              </w:rPr>
              <w:footnoteReference w:id="1"/>
            </w:r>
            <w:r w:rsidR="00973D89" w:rsidRPr="00252FA9">
              <w:rPr>
                <w:rFonts w:ascii="Arial" w:hAnsi="Arial" w:cs="Arial"/>
              </w:rPr>
              <w:t xml:space="preserve"> dotyczącymi:</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rsidR="00973D89" w:rsidRPr="00252FA9" w:rsidRDefault="00973D89" w:rsidP="00973D89">
            <w:pPr>
              <w:pStyle w:val="Akapitzlist"/>
              <w:spacing w:before="60" w:after="60"/>
              <w:ind w:left="62"/>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375EB" w:rsidRPr="00252FA9" w:rsidRDefault="00973D89" w:rsidP="00973D89">
            <w:pPr>
              <w:spacing w:before="60" w:after="60"/>
              <w:jc w:val="both"/>
              <w:rPr>
                <w:rFonts w:ascii="Arial" w:hAnsi="Arial" w:cs="Arial"/>
              </w:rPr>
            </w:pPr>
            <w:r w:rsidRPr="00252FA9">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w:t>
            </w:r>
            <w:r w:rsidRPr="00252FA9">
              <w:rPr>
                <w:rFonts w:ascii="Arial" w:hAnsi="Arial" w:cs="Arial"/>
              </w:rPr>
              <w:lastRenderedPageBreak/>
              <w:t>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r w:rsidRPr="00252FA9">
              <w:rPr>
                <w:rFonts w:ascii="Arial" w:hAnsi="Arial" w:cs="Arial"/>
              </w:rPr>
              <w:t>dofinansowanie – art. 125 ust. 3 lit. e) Rozporządzenia (UE) nr 1303/2013 z dnia 17 grudnia 2013 r.</w:t>
            </w:r>
          </w:p>
          <w:p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 xml:space="preserve">Zgodność wniosku o dofinansowanie </w:t>
            </w:r>
            <w:r w:rsidR="002344C4">
              <w:rPr>
                <w:rFonts w:ascii="Arial" w:hAnsi="Arial" w:cs="Arial"/>
              </w:rPr>
              <w:br/>
            </w:r>
            <w:r w:rsidRPr="002E600E">
              <w:rPr>
                <w:rFonts w:ascii="Arial" w:hAnsi="Arial" w:cs="Arial"/>
              </w:rPr>
              <w:t>z kartą projektu z etapu identyfikacji projektu</w:t>
            </w:r>
          </w:p>
        </w:tc>
        <w:tc>
          <w:tcPr>
            <w:tcW w:w="7938" w:type="dxa"/>
            <w:shd w:val="clear" w:color="auto" w:fill="auto"/>
            <w:vAlign w:val="center"/>
          </w:tcPr>
          <w:p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rsidR="00553804" w:rsidRPr="00252FA9" w:rsidRDefault="00553804" w:rsidP="00553804">
            <w:pPr>
              <w:jc w:val="both"/>
              <w:rPr>
                <w:rFonts w:ascii="Arial" w:hAnsi="Arial" w:cs="Arial"/>
              </w:rPr>
            </w:pPr>
            <w:r w:rsidRPr="00252FA9">
              <w:rPr>
                <w:rFonts w:ascii="Arial" w:hAnsi="Arial" w:cs="Arial"/>
              </w:rPr>
              <w:lastRenderedPageBreak/>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B37EBF" w:rsidRPr="006167A7" w:rsidTr="00F45FFD">
        <w:trPr>
          <w:trHeight w:val="43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rsidR="00B37EBF" w:rsidRPr="00252FA9" w:rsidRDefault="00B37EBF" w:rsidP="00B37EBF">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741F03">
        <w:trPr>
          <w:trHeight w:val="274"/>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175F1F">
        <w:trPr>
          <w:trHeight w:val="197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bookmarkStart w:id="5" w:name="_GoBack"/>
            <w:bookmarkEnd w:id="5"/>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bl>
    <w:p w:rsidR="00637A37" w:rsidRDefault="00637A37" w:rsidP="0045355A">
      <w:pPr>
        <w:jc w:val="both"/>
        <w:rPr>
          <w:rFonts w:ascii="Arial" w:hAnsi="Arial" w:cs="Arial"/>
          <w:sz w:val="22"/>
          <w:szCs w:val="22"/>
        </w:rPr>
      </w:pPr>
    </w:p>
    <w:p w:rsidR="00207508" w:rsidRDefault="00207508" w:rsidP="00320850">
      <w:pPr>
        <w:pStyle w:val="Nagwek3"/>
        <w:numPr>
          <w:ilvl w:val="0"/>
          <w:numId w:val="7"/>
        </w:numPr>
        <w:spacing w:before="0" w:after="120"/>
        <w:rPr>
          <w:lang w:val="pl-PL"/>
        </w:rPr>
      </w:pPr>
      <w:bookmarkStart w:id="6" w:name="_Toc427917169"/>
      <w:bookmarkStart w:id="7" w:name="_Toc429548467"/>
      <w:bookmarkStart w:id="8" w:name="_Toc427917168"/>
      <w:bookmarkStart w:id="9" w:name="_Toc429548466"/>
      <w:r w:rsidRPr="00781FCD">
        <w:t xml:space="preserve">KRYTERIA </w:t>
      </w:r>
      <w:r w:rsidRPr="009616B3">
        <w:t>SPECYFICZNE</w:t>
      </w:r>
      <w:bookmarkEnd w:id="6"/>
      <w:bookmarkEnd w:id="7"/>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1E314F">
        <w:trPr>
          <w:trHeight w:val="570"/>
        </w:trPr>
        <w:tc>
          <w:tcPr>
            <w:tcW w:w="14425" w:type="dxa"/>
            <w:gridSpan w:val="4"/>
            <w:tcBorders>
              <w:bottom w:val="single" w:sz="4" w:space="0" w:color="auto"/>
            </w:tcBorders>
            <w:shd w:val="clear" w:color="auto" w:fill="D9D9D9"/>
            <w:vAlign w:val="center"/>
          </w:tcPr>
          <w:p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7F56E1">
              <w:rPr>
                <w:rFonts w:ascii="Arial" w:eastAsia="PMingLiU" w:hAnsi="Arial" w:cs="Arial"/>
                <w:b/>
                <w:sz w:val="22"/>
                <w:szCs w:val="22"/>
              </w:rPr>
              <w:t>1</w:t>
            </w:r>
            <w:r w:rsidRPr="0086129A">
              <w:rPr>
                <w:rFonts w:ascii="Arial" w:eastAsia="PMingLiU" w:hAnsi="Arial" w:cs="Arial"/>
                <w:b/>
                <w:sz w:val="22"/>
                <w:szCs w:val="22"/>
              </w:rPr>
              <w:t xml:space="preserve"> INFRASTRUKTURA </w:t>
            </w:r>
            <w:r w:rsidR="007F56E1">
              <w:rPr>
                <w:rFonts w:ascii="Arial" w:eastAsia="PMingLiU" w:hAnsi="Arial" w:cs="Arial"/>
                <w:b/>
                <w:sz w:val="22"/>
                <w:szCs w:val="22"/>
              </w:rPr>
              <w:t>DROGOWA</w:t>
            </w:r>
          </w:p>
        </w:tc>
      </w:tr>
      <w:tr w:rsidR="00637A37" w:rsidRPr="00A17E82" w:rsidTr="001E314F">
        <w:trPr>
          <w:trHeight w:val="408"/>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rsidTr="00AC5009">
        <w:trPr>
          <w:trHeight w:val="545"/>
        </w:trPr>
        <w:tc>
          <w:tcPr>
            <w:tcW w:w="14425" w:type="dxa"/>
            <w:gridSpan w:val="4"/>
            <w:shd w:val="clear" w:color="auto" w:fill="D9D9D9"/>
            <w:vAlign w:val="center"/>
          </w:tcPr>
          <w:p w:rsidR="0086129A" w:rsidRPr="00A17E82" w:rsidRDefault="0086129A" w:rsidP="00AA1C72">
            <w:pPr>
              <w:jc w:val="center"/>
              <w:rPr>
                <w:rFonts w:ascii="Arial" w:hAnsi="Arial" w:cs="Arial"/>
                <w:b/>
                <w:bCs/>
                <w:sz w:val="22"/>
                <w:szCs w:val="22"/>
              </w:rPr>
            </w:pPr>
            <w:r w:rsidRPr="0086129A">
              <w:rPr>
                <w:rFonts w:ascii="Arial" w:hAnsi="Arial" w:cs="Arial"/>
                <w:b/>
                <w:bCs/>
                <w:sz w:val="22"/>
                <w:szCs w:val="22"/>
              </w:rPr>
              <w:t xml:space="preserve">Projekty z zakresu </w:t>
            </w:r>
            <w:r w:rsidR="00AA1C72">
              <w:rPr>
                <w:rFonts w:ascii="Arial" w:hAnsi="Arial" w:cs="Arial"/>
                <w:b/>
                <w:bCs/>
                <w:sz w:val="22"/>
                <w:szCs w:val="22"/>
              </w:rPr>
              <w:t>dróg wojewódzkich</w:t>
            </w: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1.</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shd w:val="clear" w:color="auto" w:fill="auto"/>
            <w:vAlign w:val="center"/>
          </w:tcPr>
          <w:p w:rsidR="007F56E1" w:rsidRPr="00252FA9" w:rsidRDefault="007F56E1" w:rsidP="00EF52D8">
            <w:pPr>
              <w:spacing w:before="120" w:after="120"/>
              <w:jc w:val="both"/>
              <w:rPr>
                <w:rFonts w:ascii="Arial" w:hAnsi="Arial" w:cs="Arial"/>
                <w:bCs/>
              </w:rPr>
            </w:pPr>
            <w:r w:rsidRPr="00252FA9">
              <w:rPr>
                <w:rFonts w:ascii="Arial" w:hAnsi="Arial" w:cs="Arial"/>
                <w:bCs/>
              </w:rPr>
              <w:t>Kryterium weryfikować będzie czy projekt został ujęty w regionalnym planie transportowym, którego rolę pełni Program Strategiczny Rozwoju Transportu Województwa Podkarpackiego.</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2.</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Bezpośredniość i pośredniość połączeń</w:t>
            </w:r>
          </w:p>
        </w:tc>
        <w:tc>
          <w:tcPr>
            <w:tcW w:w="7938" w:type="dxa"/>
            <w:shd w:val="clear" w:color="auto" w:fill="auto"/>
            <w:vAlign w:val="center"/>
          </w:tcPr>
          <w:p w:rsidR="007F56E1" w:rsidRPr="00252FA9" w:rsidRDefault="007F56E1" w:rsidP="00EF52D8">
            <w:pPr>
              <w:pStyle w:val="Akapitzlist"/>
              <w:spacing w:before="120" w:after="120"/>
              <w:ind w:left="0"/>
              <w:jc w:val="both"/>
              <w:rPr>
                <w:rFonts w:ascii="Arial" w:hAnsi="Arial" w:cs="Arial"/>
                <w:bCs/>
              </w:rPr>
            </w:pPr>
            <w:r w:rsidRPr="00252FA9">
              <w:rPr>
                <w:rFonts w:ascii="Arial" w:hAnsi="Arial" w:cs="Arial"/>
                <w:bCs/>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w:t>
            </w:r>
            <w:proofErr w:type="spellStart"/>
            <w:r w:rsidRPr="00252FA9">
              <w:rPr>
                <w:rFonts w:ascii="Arial" w:hAnsi="Arial" w:cs="Arial"/>
                <w:bCs/>
              </w:rPr>
              <w:t>subregionalnymi</w:t>
            </w:r>
            <w:proofErr w:type="spellEnd"/>
            <w:r w:rsidRPr="00252FA9">
              <w:rPr>
                <w:rFonts w:ascii="Arial" w:hAnsi="Arial" w:cs="Arial"/>
                <w:bCs/>
              </w:rPr>
              <w:t xml:space="preserve"> i/lub ośrodkiem wojewódzkim.</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Default="007F56E1" w:rsidP="007F56E1">
            <w:pPr>
              <w:ind w:right="34"/>
              <w:jc w:val="center"/>
              <w:rPr>
                <w:rFonts w:ascii="Arial" w:hAnsi="Arial"/>
                <w:sz w:val="22"/>
                <w:szCs w:val="22"/>
              </w:rPr>
            </w:pPr>
            <w:r>
              <w:rPr>
                <w:rFonts w:ascii="Arial" w:hAnsi="Arial"/>
                <w:sz w:val="22"/>
                <w:szCs w:val="22"/>
              </w:rPr>
              <w:t>3.</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Położenie inwestycji</w:t>
            </w:r>
          </w:p>
        </w:tc>
        <w:tc>
          <w:tcPr>
            <w:tcW w:w="7938"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bCs/>
              </w:rPr>
              <w:t xml:space="preserve">Kryterium weryfikować będzie </w:t>
            </w:r>
            <w:r w:rsidRPr="00252FA9">
              <w:rPr>
                <w:rFonts w:ascii="Arial" w:hAnsi="Arial" w:cs="Arial"/>
              </w:rPr>
              <w:t>czy inwestycja dotycząca dróg wojewódzkich nie jest zlokalizowana na terenie ROF.</w:t>
            </w:r>
            <w:r w:rsidR="001E314F">
              <w:rPr>
                <w:rFonts w:ascii="Arial" w:hAnsi="Arial" w:cs="Arial"/>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tc>
        <w:tc>
          <w:tcPr>
            <w:tcW w:w="1134" w:type="dxa"/>
            <w:shd w:val="clear" w:color="auto" w:fill="auto"/>
            <w:vAlign w:val="center"/>
          </w:tcPr>
          <w:p w:rsidR="007F56E1" w:rsidRPr="00A17E82" w:rsidRDefault="007F56E1" w:rsidP="007F56E1">
            <w:pPr>
              <w:rPr>
                <w:rFonts w:ascii="Arial" w:hAnsi="Arial"/>
                <w:sz w:val="22"/>
                <w:szCs w:val="22"/>
              </w:rPr>
            </w:pPr>
          </w:p>
        </w:tc>
      </w:tr>
      <w:bookmarkEnd w:id="1"/>
      <w:bookmarkEnd w:id="8"/>
      <w:bookmarkEnd w:id="9"/>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6" w:rsidRDefault="00DB6876" w:rsidP="0045355A">
      <w:r>
        <w:separator/>
      </w:r>
    </w:p>
  </w:endnote>
  <w:endnote w:type="continuationSeparator" w:id="0">
    <w:p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2344C4">
      <w:rPr>
        <w:noProof/>
      </w:rPr>
      <w:t>6</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6" w:rsidRDefault="00DB6876" w:rsidP="0045355A">
      <w:r>
        <w:separator/>
      </w:r>
    </w:p>
  </w:footnote>
  <w:footnote w:type="continuationSeparator" w:id="0">
    <w:p w:rsidR="00DB6876" w:rsidRDefault="00DB6876" w:rsidP="0045355A">
      <w:r>
        <w:continuationSeparator/>
      </w:r>
    </w:p>
  </w:footnote>
  <w:footnote w:id="1">
    <w:p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7CA"/>
    <w:rsid w:val="004E3C2B"/>
    <w:rsid w:val="004E6C36"/>
    <w:rsid w:val="00502E87"/>
    <w:rsid w:val="00544398"/>
    <w:rsid w:val="00553804"/>
    <w:rsid w:val="00555C26"/>
    <w:rsid w:val="00565013"/>
    <w:rsid w:val="005810AC"/>
    <w:rsid w:val="00582D2F"/>
    <w:rsid w:val="005845E9"/>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F09FC"/>
    <w:rsid w:val="00E13B2A"/>
    <w:rsid w:val="00E158BA"/>
    <w:rsid w:val="00E20FAD"/>
    <w:rsid w:val="00E31AD8"/>
    <w:rsid w:val="00E3246B"/>
    <w:rsid w:val="00E66AE9"/>
    <w:rsid w:val="00E76E57"/>
    <w:rsid w:val="00E84DC4"/>
    <w:rsid w:val="00EA0A2B"/>
    <w:rsid w:val="00EA0BED"/>
    <w:rsid w:val="00EB4876"/>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FCC6-7C1A-4CC4-ABEE-F2AD0026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1276</Words>
  <Characters>7661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Dadej Marta</cp:lastModifiedBy>
  <cp:revision>17</cp:revision>
  <cp:lastPrinted>2018-09-19T06:18:00Z</cp:lastPrinted>
  <dcterms:created xsi:type="dcterms:W3CDTF">2018-05-15T06:32:00Z</dcterms:created>
  <dcterms:modified xsi:type="dcterms:W3CDTF">2019-05-28T09:14:00Z</dcterms:modified>
</cp:coreProperties>
</file>