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B8B7F" w14:textId="0FB84744" w:rsidR="00B4131F" w:rsidRPr="00D30DAF" w:rsidRDefault="00B4131F" w:rsidP="00B4131F">
      <w:pPr>
        <w:spacing w:after="0"/>
        <w:jc w:val="right"/>
        <w:rPr>
          <w:rFonts w:ascii="Arial" w:eastAsia="Times New Roman" w:hAnsi="Arial" w:cs="Arial"/>
          <w:bCs/>
          <w:sz w:val="20"/>
          <w:szCs w:val="24"/>
          <w:lang w:eastAsia="pl-PL"/>
        </w:rPr>
      </w:pPr>
      <w:bookmarkStart w:id="0" w:name="_Hlk97711470"/>
      <w:r w:rsidRPr="00D30DAF">
        <w:rPr>
          <w:rFonts w:ascii="Arial" w:eastAsia="Times New Roman" w:hAnsi="Arial" w:cs="Arial"/>
          <w:bCs/>
          <w:sz w:val="20"/>
          <w:szCs w:val="24"/>
          <w:lang w:eastAsia="pl-PL"/>
        </w:rPr>
        <w:t>Załącznik do Uchwały Nr 492/</w:t>
      </w:r>
      <w:r w:rsidR="00DF46FA" w:rsidRPr="00D30DAF">
        <w:rPr>
          <w:rFonts w:ascii="Arial" w:eastAsia="Times New Roman" w:hAnsi="Arial" w:cs="Arial"/>
          <w:bCs/>
          <w:sz w:val="20"/>
          <w:szCs w:val="24"/>
          <w:lang w:eastAsia="pl-PL"/>
        </w:rPr>
        <w:t>10239</w:t>
      </w:r>
      <w:r w:rsidRPr="00D30DAF">
        <w:rPr>
          <w:rFonts w:ascii="Arial" w:eastAsia="Times New Roman" w:hAnsi="Arial" w:cs="Arial"/>
          <w:bCs/>
          <w:sz w:val="20"/>
          <w:szCs w:val="24"/>
          <w:lang w:eastAsia="pl-PL"/>
        </w:rPr>
        <w:t>/23</w:t>
      </w:r>
    </w:p>
    <w:p w14:paraId="6C137282" w14:textId="77777777" w:rsidR="00B4131F" w:rsidRPr="00D30DAF" w:rsidRDefault="00B4131F" w:rsidP="00B4131F">
      <w:pPr>
        <w:spacing w:after="0"/>
        <w:jc w:val="right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D30DAF">
        <w:rPr>
          <w:rFonts w:ascii="Arial" w:eastAsia="Times New Roman" w:hAnsi="Arial" w:cs="Arial"/>
          <w:bCs/>
          <w:sz w:val="20"/>
          <w:szCs w:val="24"/>
          <w:lang w:eastAsia="pl-PL"/>
        </w:rPr>
        <w:t>Zarządu Województwa Podkarpackiego</w:t>
      </w:r>
    </w:p>
    <w:p w14:paraId="08870D95" w14:textId="21C299C7" w:rsidR="00B4131F" w:rsidRPr="00D30DAF" w:rsidRDefault="00B4131F" w:rsidP="00D30DAF">
      <w:pPr>
        <w:spacing w:after="0"/>
        <w:jc w:val="right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D30DAF">
        <w:rPr>
          <w:rFonts w:ascii="Arial" w:eastAsia="Times New Roman" w:hAnsi="Arial" w:cs="Arial"/>
          <w:bCs/>
          <w:sz w:val="20"/>
          <w:szCs w:val="24"/>
          <w:lang w:eastAsia="pl-PL"/>
        </w:rPr>
        <w:t>w Rzeszowie</w:t>
      </w:r>
      <w:r w:rsidR="00D30DAF" w:rsidRPr="00D30DAF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</w:t>
      </w:r>
      <w:r w:rsidRPr="00D30DAF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z dnia </w:t>
      </w:r>
      <w:r w:rsidRPr="00D30DAF">
        <w:rPr>
          <w:rFonts w:ascii="Arial" w:eastAsia="Times New Roman" w:hAnsi="Arial" w:cs="Times New Roman"/>
          <w:sz w:val="20"/>
          <w:szCs w:val="24"/>
          <w:lang w:eastAsia="pl-PL"/>
        </w:rPr>
        <w:t xml:space="preserve">31 maja 2023 </w:t>
      </w:r>
      <w:r w:rsidRPr="00D30DAF">
        <w:rPr>
          <w:rFonts w:ascii="Arial" w:eastAsia="Times New Roman" w:hAnsi="Arial" w:cs="Arial"/>
          <w:bCs/>
          <w:sz w:val="20"/>
          <w:szCs w:val="24"/>
          <w:lang w:eastAsia="pl-PL"/>
        </w:rPr>
        <w:t>r.</w:t>
      </w:r>
    </w:p>
    <w:bookmarkEnd w:id="0"/>
    <w:p w14:paraId="3BD08177" w14:textId="77777777" w:rsidR="008E54B8" w:rsidRDefault="008E54B8" w:rsidP="00B90DD7">
      <w:pPr>
        <w:rPr>
          <w:rFonts w:ascii="Arial" w:hAnsi="Arial" w:cs="Arial"/>
          <w:b/>
          <w:sz w:val="20"/>
          <w:szCs w:val="20"/>
        </w:rPr>
      </w:pPr>
    </w:p>
    <w:p w14:paraId="65E48568" w14:textId="790D0DE1" w:rsidR="00B90DD7" w:rsidRPr="00F03BA8" w:rsidRDefault="00B90DD7" w:rsidP="00B90DD7">
      <w:pPr>
        <w:rPr>
          <w:rFonts w:ascii="Arial" w:hAnsi="Arial" w:cs="Arial"/>
          <w:b/>
          <w:sz w:val="20"/>
          <w:szCs w:val="20"/>
        </w:rPr>
      </w:pPr>
      <w:bookmarkStart w:id="1" w:name="_GoBack"/>
      <w:r w:rsidRPr="005F7635">
        <w:rPr>
          <w:rFonts w:ascii="Arial" w:hAnsi="Arial" w:cs="Arial"/>
          <w:b/>
          <w:sz w:val="20"/>
          <w:szCs w:val="20"/>
        </w:rPr>
        <w:t>Tabela wdrażania rekomendacji badania ewaluacyjnego</w:t>
      </w:r>
      <w:bookmarkEnd w:id="1"/>
      <w:r w:rsidRPr="005F7635">
        <w:rPr>
          <w:rFonts w:ascii="Arial" w:hAnsi="Arial" w:cs="Arial"/>
          <w:b/>
          <w:sz w:val="20"/>
          <w:szCs w:val="20"/>
        </w:rPr>
        <w:t xml:space="preserve"> </w:t>
      </w:r>
      <w:r w:rsidR="00F157D7" w:rsidRPr="00F157D7">
        <w:rPr>
          <w:rFonts w:ascii="Arial" w:hAnsi="Arial" w:cs="Arial"/>
          <w:sz w:val="20"/>
          <w:szCs w:val="20"/>
        </w:rPr>
        <w:t>Efekty wsparcia przedsiębiorstw w ramach RPO WP 2014-2020</w:t>
      </w:r>
    </w:p>
    <w:p w14:paraId="0ADED41B" w14:textId="77777777" w:rsidR="00B90DD7" w:rsidRPr="00853BB0" w:rsidRDefault="00B90DD7" w:rsidP="00B90DD7">
      <w:pPr>
        <w:rPr>
          <w:rFonts w:ascii="Arial" w:hAnsi="Arial" w:cs="Arial"/>
          <w:b/>
        </w:rPr>
      </w:pPr>
      <w:r w:rsidRPr="00F03BA8">
        <w:rPr>
          <w:rFonts w:ascii="Arial" w:hAnsi="Arial" w:cs="Arial"/>
          <w:b/>
          <w:sz w:val="20"/>
          <w:szCs w:val="20"/>
        </w:rPr>
        <w:t xml:space="preserve">Instytucja zlecająca badanie: </w:t>
      </w:r>
      <w:r w:rsidRPr="00F03BA8">
        <w:rPr>
          <w:rFonts w:ascii="Arial" w:hAnsi="Arial" w:cs="Arial"/>
          <w:bCs/>
          <w:sz w:val="20"/>
          <w:szCs w:val="20"/>
        </w:rPr>
        <w:t>Urząd Marszałkowski Województwa Podkarpackiego</w:t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  <w:tblDescription w:val="Tabela wdrażania rekomendacji badania ewaluacyjnego &quot;Ocena wpływu RPO WP 2014-2020 na podkarpacki rynek pracy&quot;"/>
      </w:tblPr>
      <w:tblGrid>
        <w:gridCol w:w="534"/>
        <w:gridCol w:w="2863"/>
        <w:gridCol w:w="2127"/>
        <w:gridCol w:w="1559"/>
        <w:gridCol w:w="2977"/>
        <w:gridCol w:w="1559"/>
        <w:gridCol w:w="2601"/>
      </w:tblGrid>
      <w:tr w:rsidR="00F04885" w:rsidRPr="00BB3F2B" w14:paraId="74ECFE29" w14:textId="77777777" w:rsidTr="00F157D7">
        <w:trPr>
          <w:tblHeader/>
        </w:trPr>
        <w:tc>
          <w:tcPr>
            <w:tcW w:w="534" w:type="dxa"/>
            <w:shd w:val="pct10" w:color="auto" w:fill="auto"/>
            <w:vAlign w:val="center"/>
          </w:tcPr>
          <w:p w14:paraId="1108BCC1" w14:textId="77777777" w:rsidR="00E23955" w:rsidRPr="00307C43" w:rsidRDefault="00F04885" w:rsidP="004506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C4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63" w:type="dxa"/>
            <w:shd w:val="pct10" w:color="auto" w:fill="auto"/>
            <w:vAlign w:val="center"/>
          </w:tcPr>
          <w:p w14:paraId="173DED9D" w14:textId="77777777" w:rsidR="00E23955" w:rsidRPr="00307C43" w:rsidRDefault="00E23955" w:rsidP="004C3E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C43">
              <w:rPr>
                <w:rFonts w:ascii="Arial" w:hAnsi="Arial" w:cs="Arial"/>
                <w:b/>
                <w:sz w:val="20"/>
                <w:szCs w:val="20"/>
              </w:rPr>
              <w:t xml:space="preserve">Treść wniosku </w:t>
            </w:r>
          </w:p>
        </w:tc>
        <w:tc>
          <w:tcPr>
            <w:tcW w:w="2127" w:type="dxa"/>
            <w:shd w:val="pct10" w:color="auto" w:fill="auto"/>
            <w:vAlign w:val="center"/>
          </w:tcPr>
          <w:p w14:paraId="3DD16E09" w14:textId="77777777" w:rsidR="00E23955" w:rsidRPr="00307C43" w:rsidRDefault="00E23955" w:rsidP="004506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C43">
              <w:rPr>
                <w:rFonts w:ascii="Arial" w:hAnsi="Arial" w:cs="Arial"/>
                <w:b/>
                <w:sz w:val="20"/>
                <w:szCs w:val="20"/>
              </w:rPr>
              <w:t>Treść rekomendacji</w:t>
            </w:r>
          </w:p>
        </w:tc>
        <w:tc>
          <w:tcPr>
            <w:tcW w:w="1559" w:type="dxa"/>
            <w:shd w:val="pct10" w:color="auto" w:fill="auto"/>
            <w:vAlign w:val="center"/>
          </w:tcPr>
          <w:p w14:paraId="26772C7B" w14:textId="77777777" w:rsidR="00E23955" w:rsidRPr="00307C43" w:rsidRDefault="00E23955" w:rsidP="004506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C43">
              <w:rPr>
                <w:rFonts w:ascii="Arial" w:hAnsi="Arial" w:cs="Arial"/>
                <w:b/>
                <w:sz w:val="20"/>
                <w:szCs w:val="20"/>
              </w:rPr>
              <w:t>Adresat rekomendacji</w:t>
            </w:r>
          </w:p>
        </w:tc>
        <w:tc>
          <w:tcPr>
            <w:tcW w:w="2977" w:type="dxa"/>
            <w:shd w:val="pct10" w:color="auto" w:fill="auto"/>
            <w:vAlign w:val="center"/>
          </w:tcPr>
          <w:p w14:paraId="44F24306" w14:textId="77777777" w:rsidR="00E23955" w:rsidRPr="00307C43" w:rsidRDefault="00E23955" w:rsidP="004506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C43">
              <w:rPr>
                <w:rFonts w:ascii="Arial" w:hAnsi="Arial" w:cs="Arial"/>
                <w:b/>
                <w:sz w:val="20"/>
                <w:szCs w:val="20"/>
              </w:rPr>
              <w:t>Sposób wdrożenia</w:t>
            </w:r>
          </w:p>
        </w:tc>
        <w:tc>
          <w:tcPr>
            <w:tcW w:w="1559" w:type="dxa"/>
            <w:shd w:val="pct10" w:color="auto" w:fill="auto"/>
            <w:vAlign w:val="center"/>
          </w:tcPr>
          <w:p w14:paraId="1D021CF1" w14:textId="77777777" w:rsidR="00E23955" w:rsidRPr="00307C43" w:rsidRDefault="00E23955" w:rsidP="004506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7C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Termin wdrożenia</w:t>
            </w:r>
            <w:r w:rsidR="00243C6C" w:rsidRPr="00307C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(kwartał)</w:t>
            </w:r>
          </w:p>
        </w:tc>
        <w:tc>
          <w:tcPr>
            <w:tcW w:w="2601" w:type="dxa"/>
            <w:shd w:val="pct10" w:color="auto" w:fill="auto"/>
            <w:vAlign w:val="center"/>
          </w:tcPr>
          <w:p w14:paraId="751D0245" w14:textId="6DA93F2C" w:rsidR="00E23955" w:rsidRPr="00307C43" w:rsidRDefault="00E23955" w:rsidP="005C296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7C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Uzasadnienie </w:t>
            </w:r>
            <w:r w:rsidR="00025A72" w:rsidRPr="00307C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odrzucenia </w:t>
            </w:r>
            <w:r w:rsidR="005C296C" w:rsidRPr="00307C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rekomendacji/ </w:t>
            </w:r>
            <w:r w:rsidR="0024254F" w:rsidRPr="00307C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wdrożenia </w:t>
            </w:r>
            <w:r w:rsidR="00943656" w:rsidRPr="00307C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="0024254F" w:rsidRPr="00307C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 części</w:t>
            </w:r>
          </w:p>
        </w:tc>
      </w:tr>
      <w:tr w:rsidR="00F157D7" w:rsidRPr="00BB3F2B" w14:paraId="4EAEAEF6" w14:textId="77777777" w:rsidTr="00F157D7">
        <w:trPr>
          <w:trHeight w:val="830"/>
        </w:trPr>
        <w:tc>
          <w:tcPr>
            <w:tcW w:w="534" w:type="dxa"/>
            <w:vMerge w:val="restart"/>
          </w:tcPr>
          <w:p w14:paraId="42DF56B7" w14:textId="77777777" w:rsidR="00F157D7" w:rsidRPr="00307C43" w:rsidRDefault="00F157D7" w:rsidP="00F157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C4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63" w:type="dxa"/>
            <w:tcBorders>
              <w:top w:val="single" w:sz="8" w:space="0" w:color="auto"/>
            </w:tcBorders>
          </w:tcPr>
          <w:p w14:paraId="0D0E9302" w14:textId="52D3F40E" w:rsidR="00F157D7" w:rsidRPr="00307C43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  <w:r w:rsidRPr="00510A8C">
              <w:rPr>
                <w:rFonts w:ascii="Arial" w:hAnsi="Arial" w:cs="Arial"/>
                <w:sz w:val="20"/>
              </w:rPr>
              <w:t xml:space="preserve">Zgodnie z zapisami umowy o dofinansowanie i mechanizmu monitorowania i wycofania jednostka naukowa w sytuacji przekroczenia zadeklarowanego we wniosku o dofinansowanie udziału części gospodarczej jest zobligowana do zwrotu części dofinansowania w wysokości odzwierciedlającej poziom przekroczenia. Przy wyliczaniu wysokości zwrotu dofinansowania nie są brane pod uwagę rzeczywiste korzyści finansowe jakie jednostka odniosła z tytułu większego od zakładanego wykorzystania efektów projektu do celów gospodarczych. Może się okazać, że są one mniejsze niż kwota podlegająca zwrotowi. Takie rozwiązanie </w:t>
            </w:r>
            <w:r w:rsidRPr="00510A8C">
              <w:rPr>
                <w:rFonts w:ascii="Arial" w:hAnsi="Arial" w:cs="Arial"/>
                <w:sz w:val="20"/>
              </w:rPr>
              <w:lastRenderedPageBreak/>
              <w:t xml:space="preserve">stwarza ryzyko ograniczania przez jednostki naukowe dostępu podmiotom gospodarczym do infrastruktury w momencie, gdy dostęp ten miałby się wiązać z przekroczeniem zakładanego w </w:t>
            </w:r>
            <w:proofErr w:type="spellStart"/>
            <w:r>
              <w:rPr>
                <w:rFonts w:ascii="Arial" w:hAnsi="Arial" w:cs="Arial"/>
                <w:sz w:val="20"/>
              </w:rPr>
              <w:t>WoD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udziału części gospodarczej</w:t>
            </w:r>
            <w:r w:rsidRPr="00510A8C">
              <w:rPr>
                <w:rFonts w:ascii="Arial" w:hAnsi="Arial" w:cs="Arial"/>
                <w:sz w:val="20"/>
              </w:rPr>
              <w:t xml:space="preserve"> </w:t>
            </w:r>
            <w:bookmarkStart w:id="2" w:name="_Hlk131763128"/>
            <w:r w:rsidRPr="00510A8C">
              <w:rPr>
                <w:rFonts w:ascii="Arial" w:hAnsi="Arial" w:cs="Arial"/>
                <w:sz w:val="20"/>
              </w:rPr>
              <w:t>(s.36)</w:t>
            </w:r>
            <w:bookmarkEnd w:id="2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8" w:space="0" w:color="auto"/>
            </w:tcBorders>
          </w:tcPr>
          <w:p w14:paraId="2846A0BE" w14:textId="77777777" w:rsidR="00F157D7" w:rsidRPr="00510A8C" w:rsidRDefault="00F157D7" w:rsidP="00F157D7">
            <w:pPr>
              <w:rPr>
                <w:rFonts w:ascii="Arial" w:hAnsi="Arial" w:cs="Arial"/>
                <w:sz w:val="20"/>
              </w:rPr>
            </w:pPr>
            <w:r w:rsidRPr="00510A8C">
              <w:rPr>
                <w:rFonts w:ascii="Arial" w:hAnsi="Arial" w:cs="Arial"/>
                <w:sz w:val="20"/>
              </w:rPr>
              <w:lastRenderedPageBreak/>
              <w:t xml:space="preserve">Przyjęcie zasady, w myśl której kwota podlegająca zwrotowi z tytułu wykorzystania infrastruktury dla celów gospodarczych ponad udział określony w </w:t>
            </w:r>
            <w:proofErr w:type="spellStart"/>
            <w:r w:rsidRPr="00510A8C">
              <w:rPr>
                <w:rFonts w:ascii="Arial" w:hAnsi="Arial" w:cs="Arial"/>
                <w:sz w:val="20"/>
              </w:rPr>
              <w:t>WoD</w:t>
            </w:r>
            <w:proofErr w:type="spellEnd"/>
            <w:r w:rsidRPr="00510A8C">
              <w:rPr>
                <w:rFonts w:ascii="Arial" w:hAnsi="Arial" w:cs="Arial"/>
                <w:sz w:val="20"/>
              </w:rPr>
              <w:t xml:space="preserve"> nie będzie przekraczać rzeczywistych korzyści finansowych jakie jednostka odniosła z tego tytułu (przychody pomniejszone o koszty).</w:t>
            </w:r>
          </w:p>
          <w:p w14:paraId="389162D4" w14:textId="77777777" w:rsidR="00F157D7" w:rsidRPr="00510A8C" w:rsidRDefault="00F157D7" w:rsidP="00F157D7">
            <w:pPr>
              <w:rPr>
                <w:rFonts w:ascii="Arial" w:hAnsi="Arial" w:cs="Arial"/>
                <w:sz w:val="20"/>
              </w:rPr>
            </w:pPr>
            <w:r w:rsidRPr="00510A8C">
              <w:rPr>
                <w:rFonts w:ascii="Arial" w:hAnsi="Arial" w:cs="Arial"/>
                <w:sz w:val="20"/>
              </w:rPr>
              <w:t>Alternatywnie:</w:t>
            </w:r>
          </w:p>
          <w:p w14:paraId="3C8935A2" w14:textId="77777777" w:rsidR="00F157D7" w:rsidRPr="00510A8C" w:rsidRDefault="00F157D7" w:rsidP="00F157D7">
            <w:pPr>
              <w:pStyle w:val="Akapitzlist"/>
              <w:numPr>
                <w:ilvl w:val="0"/>
                <w:numId w:val="11"/>
              </w:numPr>
              <w:tabs>
                <w:tab w:val="left" w:pos="256"/>
              </w:tabs>
              <w:ind w:left="176" w:hanging="176"/>
              <w:rPr>
                <w:rFonts w:ascii="Arial" w:hAnsi="Arial" w:cs="Arial"/>
                <w:sz w:val="20"/>
              </w:rPr>
            </w:pPr>
            <w:r w:rsidRPr="00510A8C">
              <w:rPr>
                <w:rFonts w:ascii="Arial" w:hAnsi="Arial" w:cs="Arial"/>
                <w:sz w:val="20"/>
              </w:rPr>
              <w:t xml:space="preserve">wprowadzenie zasady, że weryfikacja zachowania proporcji części gospodarczej do </w:t>
            </w:r>
            <w:r w:rsidRPr="00510A8C">
              <w:rPr>
                <w:rFonts w:ascii="Arial" w:hAnsi="Arial" w:cs="Arial"/>
                <w:sz w:val="20"/>
              </w:rPr>
              <w:lastRenderedPageBreak/>
              <w:t>niegospodarczej jest dokonywana jednorazowo, na koniec okresu trwałości projektu</w:t>
            </w:r>
          </w:p>
          <w:p w14:paraId="032A761E" w14:textId="76DB60CA" w:rsidR="00F157D7" w:rsidRPr="00F157D7" w:rsidRDefault="00F157D7" w:rsidP="00F157D7">
            <w:pPr>
              <w:pStyle w:val="Akapitzlist"/>
              <w:numPr>
                <w:ilvl w:val="0"/>
                <w:numId w:val="11"/>
              </w:numPr>
              <w:ind w:left="176" w:hanging="284"/>
              <w:rPr>
                <w:rFonts w:ascii="Arial" w:hAnsi="Arial" w:cs="Arial"/>
                <w:sz w:val="20"/>
                <w:szCs w:val="20"/>
              </w:rPr>
            </w:pPr>
            <w:r w:rsidRPr="00F157D7">
              <w:rPr>
                <w:rFonts w:ascii="Arial" w:hAnsi="Arial" w:cs="Arial"/>
                <w:sz w:val="20"/>
              </w:rPr>
              <w:t>wprowadzenie zasady, że beneficjent jest zobowiązany do osiągnięcia udziału części gospodarczej mieszczącej się w określonym przedziale szerokim np. na 10 punktów procentowych. Dopiero w sytuacji „nie zmieszczenia” się w przedziale stosowane byłyby określone sankcje.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0F020DD4" w14:textId="591D1686" w:rsidR="00F157D7" w:rsidRPr="00307C43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  <w:r w:rsidRPr="00510A8C">
              <w:rPr>
                <w:rFonts w:ascii="Arial" w:hAnsi="Arial" w:cs="Arial"/>
                <w:sz w:val="20"/>
              </w:rPr>
              <w:lastRenderedPageBreak/>
              <w:t>Instytucja Koordynująca Umowę Partnerstwa</w:t>
            </w:r>
          </w:p>
        </w:tc>
        <w:tc>
          <w:tcPr>
            <w:tcW w:w="2977" w:type="dxa"/>
            <w:tcBorders>
              <w:top w:val="single" w:sz="8" w:space="0" w:color="auto"/>
            </w:tcBorders>
          </w:tcPr>
          <w:p w14:paraId="5CD948F2" w14:textId="4BF5F74F" w:rsidR="00F157D7" w:rsidRPr="00307C43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  <w:r w:rsidRPr="00510A8C">
              <w:rPr>
                <w:rFonts w:ascii="Arial" w:hAnsi="Arial" w:cs="Arial"/>
                <w:sz w:val="20"/>
              </w:rPr>
              <w:t>Przyjęcie przez IK UP odpowiednich interpretacji do zapisów mechanizmu monitorowania i wycofania.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16D04EF9" w14:textId="361D695E" w:rsidR="00F157D7" w:rsidRPr="00307C43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  <w:r w:rsidRPr="00510A8C">
              <w:rPr>
                <w:rFonts w:ascii="Arial" w:hAnsi="Arial" w:cs="Arial"/>
                <w:sz w:val="20"/>
              </w:rPr>
              <w:t>30.09.2023 r.</w:t>
            </w:r>
          </w:p>
        </w:tc>
        <w:tc>
          <w:tcPr>
            <w:tcW w:w="2601" w:type="dxa"/>
          </w:tcPr>
          <w:p w14:paraId="50725EE1" w14:textId="280B5C97" w:rsidR="00F157D7" w:rsidRPr="00307C43" w:rsidRDefault="00DC51B7" w:rsidP="00F15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Rekomendacja, w związku z przyznaną jej klasą rekomendacji horyzontalnej zostanie przekazana do K</w:t>
            </w:r>
            <w:r w:rsidR="00B028E3">
              <w:rPr>
                <w:rFonts w:ascii="Arial" w:hAnsi="Arial" w:cs="Arial"/>
                <w:bCs/>
                <w:sz w:val="20"/>
                <w:szCs w:val="20"/>
              </w:rPr>
              <w:t xml:space="preserve">rajowej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="00B028E3">
              <w:rPr>
                <w:rFonts w:ascii="Arial" w:hAnsi="Arial" w:cs="Arial"/>
                <w:bCs/>
                <w:sz w:val="20"/>
                <w:szCs w:val="20"/>
              </w:rPr>
              <w:t xml:space="preserve">ednostki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B028E3">
              <w:rPr>
                <w:rFonts w:ascii="Arial" w:hAnsi="Arial" w:cs="Arial"/>
                <w:bCs/>
                <w:sz w:val="20"/>
                <w:szCs w:val="20"/>
              </w:rPr>
              <w:t xml:space="preserve">waluacji w </w:t>
            </w:r>
            <w:proofErr w:type="spellStart"/>
            <w:r w:rsidR="00B028E3">
              <w:rPr>
                <w:rFonts w:ascii="Arial" w:hAnsi="Arial" w:cs="Arial"/>
                <w:bCs/>
                <w:sz w:val="20"/>
                <w:szCs w:val="20"/>
              </w:rPr>
              <w:t>MFiPR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celem dalszego procedowania, zgodnie z założeniami </w:t>
            </w:r>
            <w:r w:rsidRPr="00FD1D6E">
              <w:rPr>
                <w:rFonts w:ascii="Arial" w:hAnsi="Arial" w:cs="Arial"/>
                <w:bCs/>
                <w:i/>
                <w:sz w:val="20"/>
                <w:szCs w:val="20"/>
              </w:rPr>
              <w:t>Wytycznych w zakresie ewaluacji polityki spójności na lata 2014-2020.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  <w:tr w:rsidR="00F157D7" w:rsidRPr="00BB3F2B" w14:paraId="43E34DD4" w14:textId="77777777" w:rsidTr="00F157D7">
        <w:trPr>
          <w:trHeight w:val="422"/>
        </w:trPr>
        <w:tc>
          <w:tcPr>
            <w:tcW w:w="534" w:type="dxa"/>
            <w:vMerge/>
          </w:tcPr>
          <w:p w14:paraId="1E7AE950" w14:textId="77777777" w:rsidR="00F157D7" w:rsidRPr="00307C43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shd w:val="pct10" w:color="auto" w:fill="auto"/>
            <w:vAlign w:val="center"/>
          </w:tcPr>
          <w:p w14:paraId="6C5562A6" w14:textId="77777777" w:rsidR="00F157D7" w:rsidRPr="00307C43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  <w:r w:rsidRPr="00307C43">
              <w:rPr>
                <w:rFonts w:ascii="Arial" w:hAnsi="Arial" w:cs="Arial"/>
                <w:b/>
                <w:sz w:val="20"/>
                <w:szCs w:val="20"/>
              </w:rPr>
              <w:t>Klasa rekomendacji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22B66A2D" w14:textId="3432544C" w:rsidR="00F157D7" w:rsidRPr="00307C43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  <w:r w:rsidRPr="00307C43">
              <w:rPr>
                <w:rFonts w:ascii="Arial" w:hAnsi="Arial" w:cs="Arial"/>
                <w:sz w:val="20"/>
                <w:szCs w:val="20"/>
                <w:lang w:eastAsia="ja-JP"/>
              </w:rPr>
              <w:t xml:space="preserve">Rekomendacja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horyzontalna</w:t>
            </w:r>
          </w:p>
        </w:tc>
        <w:tc>
          <w:tcPr>
            <w:tcW w:w="2977" w:type="dxa"/>
            <w:shd w:val="pct10" w:color="auto" w:fill="auto"/>
            <w:vAlign w:val="center"/>
          </w:tcPr>
          <w:p w14:paraId="4B13FB2B" w14:textId="77777777" w:rsidR="00F157D7" w:rsidRPr="00307C43" w:rsidRDefault="00F157D7" w:rsidP="00F15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7C43">
              <w:rPr>
                <w:rFonts w:ascii="Arial" w:hAnsi="Arial" w:cs="Arial"/>
                <w:b/>
                <w:sz w:val="20"/>
                <w:szCs w:val="20"/>
              </w:rPr>
              <w:t>Podklasa rekomendacji</w:t>
            </w:r>
          </w:p>
        </w:tc>
        <w:tc>
          <w:tcPr>
            <w:tcW w:w="4160" w:type="dxa"/>
            <w:gridSpan w:val="2"/>
            <w:tcBorders>
              <w:bottom w:val="single" w:sz="4" w:space="0" w:color="auto"/>
            </w:tcBorders>
            <w:vAlign w:val="center"/>
          </w:tcPr>
          <w:p w14:paraId="58976AA6" w14:textId="35C53153" w:rsidR="00F157D7" w:rsidRPr="00307C43" w:rsidRDefault="00F157D7" w:rsidP="00F157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7C43">
              <w:rPr>
                <w:rFonts w:ascii="Arial" w:hAnsi="Arial" w:cs="Arial"/>
                <w:sz w:val="20"/>
                <w:szCs w:val="20"/>
                <w:lang w:eastAsia="ja-JP"/>
              </w:rPr>
              <w:t>Rekomendacja operacyjna</w:t>
            </w:r>
          </w:p>
        </w:tc>
      </w:tr>
      <w:tr w:rsidR="00F157D7" w:rsidRPr="00BB3F2B" w14:paraId="5EAD18BE" w14:textId="77777777" w:rsidTr="00F157D7">
        <w:trPr>
          <w:trHeight w:val="422"/>
        </w:trPr>
        <w:tc>
          <w:tcPr>
            <w:tcW w:w="534" w:type="dxa"/>
            <w:vMerge/>
          </w:tcPr>
          <w:p w14:paraId="022D8A99" w14:textId="77777777" w:rsidR="00F157D7" w:rsidRPr="00307C43" w:rsidRDefault="00F157D7" w:rsidP="00F157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3" w:type="dxa"/>
            <w:shd w:val="pct10" w:color="auto" w:fill="auto"/>
            <w:vAlign w:val="center"/>
          </w:tcPr>
          <w:p w14:paraId="282AB51F" w14:textId="77777777" w:rsidR="00F157D7" w:rsidRPr="00307C43" w:rsidRDefault="00F157D7" w:rsidP="00F157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7C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Obszar tematyczny 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vAlign w:val="center"/>
          </w:tcPr>
          <w:p w14:paraId="0973402F" w14:textId="6F90EE7D" w:rsidR="00F157D7" w:rsidRPr="00307C43" w:rsidRDefault="00F157D7" w:rsidP="00F157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D7">
              <w:rPr>
                <w:rFonts w:ascii="Arial" w:hAnsi="Arial" w:cs="Arial"/>
                <w:color w:val="000000" w:themeColor="text1"/>
                <w:sz w:val="20"/>
                <w:szCs w:val="20"/>
              </w:rPr>
              <w:t>Innowacyjność o</w:t>
            </w:r>
            <w:r w:rsidRPr="00F157D7">
              <w:rPr>
                <w:rFonts w:ascii="Arial" w:hAnsi="Arial" w:cs="Arial"/>
                <w:sz w:val="20"/>
                <w:szCs w:val="20"/>
                <w:lang w:eastAsia="ja-JP"/>
              </w:rPr>
              <w:t xml:space="preserve">raz </w:t>
            </w:r>
            <w:r w:rsidRPr="00F157D7">
              <w:rPr>
                <w:rFonts w:ascii="Arial" w:hAnsi="Arial" w:cs="Arial"/>
                <w:color w:val="000000" w:themeColor="text1"/>
                <w:sz w:val="20"/>
                <w:szCs w:val="20"/>
              </w:rPr>
              <w:t>badania i rozwój</w:t>
            </w:r>
          </w:p>
        </w:tc>
        <w:tc>
          <w:tcPr>
            <w:tcW w:w="2977" w:type="dxa"/>
            <w:shd w:val="pct10" w:color="auto" w:fill="auto"/>
            <w:vAlign w:val="center"/>
          </w:tcPr>
          <w:p w14:paraId="2571EDFE" w14:textId="77777777" w:rsidR="00F157D7" w:rsidRPr="00307C43" w:rsidRDefault="00F157D7" w:rsidP="00F157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7C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Program operacyjny</w:t>
            </w:r>
          </w:p>
        </w:tc>
        <w:tc>
          <w:tcPr>
            <w:tcW w:w="4160" w:type="dxa"/>
            <w:gridSpan w:val="2"/>
            <w:tcBorders>
              <w:bottom w:val="single" w:sz="4" w:space="0" w:color="auto"/>
            </w:tcBorders>
            <w:vAlign w:val="center"/>
          </w:tcPr>
          <w:p w14:paraId="1EC3F57A" w14:textId="6B421CD8" w:rsidR="00F157D7" w:rsidRPr="00307C43" w:rsidRDefault="00F157D7" w:rsidP="00F157D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D7">
              <w:rPr>
                <w:rFonts w:ascii="Arial" w:hAnsi="Arial" w:cs="Arial"/>
                <w:color w:val="000000" w:themeColor="text1"/>
                <w:sz w:val="20"/>
                <w:szCs w:val="20"/>
              </w:rPr>
              <w:t>Więcej niż jeden program</w:t>
            </w:r>
          </w:p>
        </w:tc>
      </w:tr>
      <w:tr w:rsidR="00F157D7" w:rsidRPr="00BB3F2B" w14:paraId="303D95C5" w14:textId="77777777" w:rsidTr="008D52D9">
        <w:trPr>
          <w:trHeight w:val="70"/>
        </w:trPr>
        <w:tc>
          <w:tcPr>
            <w:tcW w:w="534" w:type="dxa"/>
            <w:vMerge/>
          </w:tcPr>
          <w:p w14:paraId="19B24AE3" w14:textId="77777777" w:rsidR="00F157D7" w:rsidRPr="00307C43" w:rsidRDefault="00F157D7" w:rsidP="00F157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3" w:type="dxa"/>
            <w:shd w:val="pct10" w:color="auto" w:fill="auto"/>
          </w:tcPr>
          <w:p w14:paraId="67EF9A2A" w14:textId="39F40363" w:rsidR="00F157D7" w:rsidRPr="00307C43" w:rsidRDefault="00F157D7" w:rsidP="00F157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7C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Bazowy status rekomendacji</w:t>
            </w:r>
          </w:p>
        </w:tc>
        <w:tc>
          <w:tcPr>
            <w:tcW w:w="10823" w:type="dxa"/>
            <w:gridSpan w:val="5"/>
            <w:vAlign w:val="center"/>
          </w:tcPr>
          <w:p w14:paraId="6DFA23D5" w14:textId="184DE9E9" w:rsidR="00F157D7" w:rsidRPr="00307C43" w:rsidRDefault="00F157D7" w:rsidP="00F157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F157D7" w:rsidRPr="00BB3F2B" w14:paraId="2483C3D5" w14:textId="77777777" w:rsidTr="00965ED8">
        <w:trPr>
          <w:trHeight w:val="841"/>
        </w:trPr>
        <w:tc>
          <w:tcPr>
            <w:tcW w:w="534" w:type="dxa"/>
            <w:vMerge w:val="restart"/>
          </w:tcPr>
          <w:p w14:paraId="6BF200A5" w14:textId="7D8F4AB7" w:rsidR="00F157D7" w:rsidRPr="00307C43" w:rsidRDefault="00F157D7" w:rsidP="00F1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C4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63" w:type="dxa"/>
            <w:tcBorders>
              <w:top w:val="single" w:sz="8" w:space="0" w:color="auto"/>
            </w:tcBorders>
          </w:tcPr>
          <w:p w14:paraId="79685196" w14:textId="41DCD434" w:rsidR="00F157D7" w:rsidRPr="00307C43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  <w:r w:rsidRPr="00510A8C">
              <w:rPr>
                <w:rFonts w:ascii="Arial" w:hAnsi="Arial" w:cs="Arial"/>
                <w:sz w:val="20"/>
              </w:rPr>
              <w:t xml:space="preserve">Beneficjenci sygnalizowali trudności dotyczące zastosowania w praktyce mechanizmu monitorowania i wycofania. Zwracali przede wszystkim uwagę na </w:t>
            </w:r>
            <w:r w:rsidRPr="00510A8C">
              <w:rPr>
                <w:rFonts w:ascii="Arial" w:hAnsi="Arial" w:cs="Arial"/>
                <w:sz w:val="20"/>
              </w:rPr>
              <w:lastRenderedPageBreak/>
              <w:t>konieczność jego stosowania do chwili zamortyzowania/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10A8C">
              <w:rPr>
                <w:rFonts w:ascii="Arial" w:hAnsi="Arial" w:cs="Arial"/>
                <w:sz w:val="20"/>
              </w:rPr>
              <w:t xml:space="preserve">umorzenia wszystkich elementów infrastruktury objętej projektem co w skrajnych przypadkach może trwać nawet 40 lat. Już po upływie kilku lat aparatura może utracić swoje walory co będzie utrudniało utrzymanie zakładanego udziału części gospodarczej. dostęp ten miałby się wiązać z przekroczeniem zakładanego w </w:t>
            </w:r>
            <w:proofErr w:type="spellStart"/>
            <w:r w:rsidRPr="00510A8C">
              <w:rPr>
                <w:rFonts w:ascii="Arial" w:hAnsi="Arial" w:cs="Arial"/>
                <w:sz w:val="20"/>
              </w:rPr>
              <w:t>WoD</w:t>
            </w:r>
            <w:proofErr w:type="spellEnd"/>
            <w:r w:rsidRPr="00510A8C">
              <w:rPr>
                <w:rFonts w:ascii="Arial" w:hAnsi="Arial" w:cs="Arial"/>
                <w:sz w:val="20"/>
              </w:rPr>
              <w:t xml:space="preserve"> udziału części gospodarczej </w:t>
            </w:r>
            <w:bookmarkStart w:id="3" w:name="_Hlk131763137"/>
            <w:r w:rsidRPr="00510A8C">
              <w:rPr>
                <w:rFonts w:ascii="Arial" w:hAnsi="Arial" w:cs="Arial"/>
                <w:sz w:val="20"/>
              </w:rPr>
              <w:t>(s. 38)</w:t>
            </w:r>
            <w:bookmarkEnd w:id="3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8" w:space="0" w:color="auto"/>
            </w:tcBorders>
          </w:tcPr>
          <w:p w14:paraId="320EDDE1" w14:textId="4FC59519" w:rsidR="00F157D7" w:rsidRPr="00307C43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  <w:r w:rsidRPr="00510A8C">
              <w:rPr>
                <w:rFonts w:ascii="Arial" w:hAnsi="Arial" w:cs="Arial"/>
                <w:sz w:val="20"/>
              </w:rPr>
              <w:lastRenderedPageBreak/>
              <w:t>Stosowanie mechanizmu monitorowania jedynie w okresie trwałości projektu.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7F62DA46" w14:textId="69F5C17D" w:rsidR="00F157D7" w:rsidRPr="00307C43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  <w:r w:rsidRPr="00510A8C">
              <w:rPr>
                <w:rFonts w:ascii="Arial" w:hAnsi="Arial" w:cs="Arial"/>
                <w:sz w:val="20"/>
              </w:rPr>
              <w:t>Instytucja Koordynująca Umowę Partnerstwa</w:t>
            </w:r>
          </w:p>
        </w:tc>
        <w:tc>
          <w:tcPr>
            <w:tcW w:w="2977" w:type="dxa"/>
            <w:tcBorders>
              <w:top w:val="single" w:sz="8" w:space="0" w:color="auto"/>
            </w:tcBorders>
          </w:tcPr>
          <w:p w14:paraId="0E5CB1F5" w14:textId="140CB759" w:rsidR="00F157D7" w:rsidRPr="00F157D7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  <w:r w:rsidRPr="00F157D7">
              <w:rPr>
                <w:rFonts w:ascii="Arial" w:hAnsi="Arial" w:cs="Arial"/>
                <w:sz w:val="20"/>
              </w:rPr>
              <w:t>Wprowadzenie przez IK UP odpowiednich zmian w treści mechanizmu monitorowania i wycofania oraz zawarcie aneksów do umów z beneficjentami.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1523C7AB" w14:textId="46E28A21" w:rsidR="00F157D7" w:rsidRPr="00307C43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  <w:r w:rsidRPr="00510A8C">
              <w:rPr>
                <w:rFonts w:ascii="Arial" w:hAnsi="Arial" w:cs="Arial"/>
                <w:sz w:val="20"/>
              </w:rPr>
              <w:t>30.09.2023 r.</w:t>
            </w:r>
          </w:p>
        </w:tc>
        <w:tc>
          <w:tcPr>
            <w:tcW w:w="2601" w:type="dxa"/>
          </w:tcPr>
          <w:p w14:paraId="18AF9F6C" w14:textId="6DEEA1BF" w:rsidR="00F157D7" w:rsidRPr="00307C43" w:rsidRDefault="00B028E3" w:rsidP="00F15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Rekomendacja, w związku z przyznaną jej klasą rekomendacji horyzontalnej zostanie przekazana do Krajowej Jednostki Ewaluacji w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MFiPR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celem dalszego procedowania, zgodnie z założeniami </w:t>
            </w:r>
            <w:r w:rsidRPr="00FD1D6E">
              <w:rPr>
                <w:rFonts w:ascii="Arial" w:hAnsi="Arial" w:cs="Arial"/>
                <w:bCs/>
                <w:i/>
                <w:sz w:val="20"/>
                <w:szCs w:val="20"/>
              </w:rPr>
              <w:t>Wytycznych w zakresie ewaluacji polityki spójności na lata 2014-2020.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  <w:tr w:rsidR="00F157D7" w:rsidRPr="00BB3F2B" w14:paraId="1CC22564" w14:textId="77777777" w:rsidTr="00F157D7">
        <w:trPr>
          <w:trHeight w:val="572"/>
        </w:trPr>
        <w:tc>
          <w:tcPr>
            <w:tcW w:w="534" w:type="dxa"/>
            <w:vMerge/>
          </w:tcPr>
          <w:p w14:paraId="6DFC94CC" w14:textId="77777777" w:rsidR="00F157D7" w:rsidRPr="00307C43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shd w:val="pct10" w:color="auto" w:fill="auto"/>
            <w:vAlign w:val="center"/>
          </w:tcPr>
          <w:p w14:paraId="0DE54ED2" w14:textId="77777777" w:rsidR="00F157D7" w:rsidRPr="00307C43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  <w:r w:rsidRPr="00307C43">
              <w:rPr>
                <w:rFonts w:ascii="Arial" w:hAnsi="Arial" w:cs="Arial"/>
                <w:b/>
                <w:sz w:val="20"/>
                <w:szCs w:val="20"/>
              </w:rPr>
              <w:t>Klasa rekomendacji</w:t>
            </w:r>
          </w:p>
        </w:tc>
        <w:tc>
          <w:tcPr>
            <w:tcW w:w="3686" w:type="dxa"/>
            <w:gridSpan w:val="2"/>
            <w:vAlign w:val="center"/>
          </w:tcPr>
          <w:p w14:paraId="310D99BE" w14:textId="1561EEE3" w:rsidR="00F157D7" w:rsidRPr="00307C43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  <w:r w:rsidRPr="00307C43">
              <w:rPr>
                <w:rFonts w:ascii="Arial" w:hAnsi="Arial" w:cs="Arial"/>
                <w:sz w:val="20"/>
                <w:szCs w:val="20"/>
                <w:lang w:eastAsia="ja-JP"/>
              </w:rPr>
              <w:t xml:space="preserve">Rekomendacja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horyzontalna</w:t>
            </w:r>
          </w:p>
        </w:tc>
        <w:tc>
          <w:tcPr>
            <w:tcW w:w="2977" w:type="dxa"/>
            <w:shd w:val="pct10" w:color="auto" w:fill="auto"/>
            <w:vAlign w:val="center"/>
          </w:tcPr>
          <w:p w14:paraId="71CFE47D" w14:textId="77777777" w:rsidR="00F157D7" w:rsidRPr="00307C43" w:rsidRDefault="00F157D7" w:rsidP="00F15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7C43">
              <w:rPr>
                <w:rFonts w:ascii="Arial" w:hAnsi="Arial" w:cs="Arial"/>
                <w:b/>
                <w:sz w:val="20"/>
                <w:szCs w:val="20"/>
              </w:rPr>
              <w:t>Podklasa rekomendacji</w:t>
            </w:r>
          </w:p>
        </w:tc>
        <w:tc>
          <w:tcPr>
            <w:tcW w:w="4160" w:type="dxa"/>
            <w:gridSpan w:val="2"/>
            <w:vAlign w:val="center"/>
          </w:tcPr>
          <w:p w14:paraId="4F7D80C7" w14:textId="0627AAB8" w:rsidR="00F157D7" w:rsidRPr="00307C43" w:rsidRDefault="00F157D7" w:rsidP="00F157D7">
            <w:pPr>
              <w:tabs>
                <w:tab w:val="left" w:pos="145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7C43">
              <w:rPr>
                <w:rFonts w:ascii="Arial" w:hAnsi="Arial" w:cs="Arial"/>
                <w:sz w:val="20"/>
                <w:szCs w:val="20"/>
                <w:lang w:eastAsia="ja-JP"/>
              </w:rPr>
              <w:t>Rekomendacja operacyjna</w:t>
            </w:r>
          </w:p>
        </w:tc>
      </w:tr>
      <w:tr w:rsidR="00F157D7" w:rsidRPr="00BB3F2B" w14:paraId="7F0369A9" w14:textId="77777777" w:rsidTr="00F157D7">
        <w:trPr>
          <w:trHeight w:val="425"/>
        </w:trPr>
        <w:tc>
          <w:tcPr>
            <w:tcW w:w="534" w:type="dxa"/>
            <w:vMerge/>
          </w:tcPr>
          <w:p w14:paraId="5F2131A9" w14:textId="77777777" w:rsidR="00F157D7" w:rsidRPr="00307C43" w:rsidRDefault="00F157D7" w:rsidP="00F157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3" w:type="dxa"/>
            <w:shd w:val="pct10" w:color="auto" w:fill="auto"/>
            <w:vAlign w:val="center"/>
          </w:tcPr>
          <w:p w14:paraId="177B136A" w14:textId="77777777" w:rsidR="00F157D7" w:rsidRPr="00307C43" w:rsidRDefault="00F157D7" w:rsidP="00F157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7C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Obszar tematyczny </w:t>
            </w:r>
          </w:p>
        </w:tc>
        <w:tc>
          <w:tcPr>
            <w:tcW w:w="3686" w:type="dxa"/>
            <w:gridSpan w:val="2"/>
            <w:vAlign w:val="center"/>
          </w:tcPr>
          <w:p w14:paraId="67A47603" w14:textId="129FABB8" w:rsidR="00F157D7" w:rsidRPr="00307C43" w:rsidRDefault="00F157D7" w:rsidP="00F157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510A8C">
              <w:rPr>
                <w:rFonts w:ascii="Arial" w:hAnsi="Arial" w:cs="Arial"/>
                <w:color w:val="000000" w:themeColor="text1"/>
                <w:sz w:val="20"/>
                <w:szCs w:val="20"/>
              </w:rPr>
              <w:t>nnowacyjność oraz badania i rozwój</w:t>
            </w:r>
          </w:p>
        </w:tc>
        <w:tc>
          <w:tcPr>
            <w:tcW w:w="2977" w:type="dxa"/>
            <w:shd w:val="pct10" w:color="auto" w:fill="auto"/>
            <w:vAlign w:val="center"/>
          </w:tcPr>
          <w:p w14:paraId="2B504D3F" w14:textId="77777777" w:rsidR="00F157D7" w:rsidRPr="00307C43" w:rsidRDefault="00F157D7" w:rsidP="00F157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7C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Program operacyjny</w:t>
            </w:r>
          </w:p>
        </w:tc>
        <w:tc>
          <w:tcPr>
            <w:tcW w:w="4160" w:type="dxa"/>
            <w:gridSpan w:val="2"/>
            <w:vAlign w:val="center"/>
          </w:tcPr>
          <w:p w14:paraId="42B042E7" w14:textId="7395107C" w:rsidR="00F157D7" w:rsidRPr="00307C43" w:rsidRDefault="00F157D7" w:rsidP="00F157D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D7">
              <w:rPr>
                <w:rFonts w:ascii="Arial" w:hAnsi="Arial" w:cs="Arial"/>
                <w:color w:val="000000" w:themeColor="text1"/>
                <w:sz w:val="20"/>
                <w:szCs w:val="20"/>
              </w:rPr>
              <w:t>Więcej niż jeden program</w:t>
            </w:r>
          </w:p>
        </w:tc>
      </w:tr>
      <w:tr w:rsidR="00F157D7" w:rsidRPr="00BB3F2B" w14:paraId="0EDB3404" w14:textId="77777777" w:rsidTr="008D52D9">
        <w:trPr>
          <w:trHeight w:val="70"/>
        </w:trPr>
        <w:tc>
          <w:tcPr>
            <w:tcW w:w="534" w:type="dxa"/>
            <w:vMerge/>
          </w:tcPr>
          <w:p w14:paraId="40F97F1E" w14:textId="77777777" w:rsidR="00F157D7" w:rsidRPr="00307C43" w:rsidRDefault="00F157D7" w:rsidP="00F157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3" w:type="dxa"/>
            <w:shd w:val="pct10" w:color="auto" w:fill="auto"/>
          </w:tcPr>
          <w:p w14:paraId="3E8E6C27" w14:textId="77777777" w:rsidR="00F157D7" w:rsidRPr="00307C43" w:rsidRDefault="00F157D7" w:rsidP="00F157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7C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Bazowy status rekomendacji</w:t>
            </w:r>
          </w:p>
        </w:tc>
        <w:tc>
          <w:tcPr>
            <w:tcW w:w="10823" w:type="dxa"/>
            <w:gridSpan w:val="5"/>
            <w:vAlign w:val="center"/>
          </w:tcPr>
          <w:p w14:paraId="78D7EE3B" w14:textId="38A2D9DA" w:rsidR="00F157D7" w:rsidRPr="00307C43" w:rsidRDefault="006F5FF2" w:rsidP="00F157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F157D7" w:rsidRPr="00BB3F2B" w14:paraId="27344489" w14:textId="77777777" w:rsidTr="00F157D7">
        <w:trPr>
          <w:trHeight w:val="830"/>
        </w:trPr>
        <w:tc>
          <w:tcPr>
            <w:tcW w:w="534" w:type="dxa"/>
            <w:vMerge w:val="restart"/>
          </w:tcPr>
          <w:p w14:paraId="047B9388" w14:textId="0AF6644C" w:rsidR="00F157D7" w:rsidRPr="00307C43" w:rsidRDefault="00F157D7" w:rsidP="00F1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C4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FFAB" w14:textId="77777777" w:rsidR="00F157D7" w:rsidRPr="00F74C6F" w:rsidRDefault="00F157D7" w:rsidP="00F157D7">
            <w:pPr>
              <w:rPr>
                <w:rFonts w:ascii="Arial" w:hAnsi="Arial" w:cs="Arial"/>
                <w:sz w:val="20"/>
              </w:rPr>
            </w:pPr>
            <w:r w:rsidRPr="00F74C6F">
              <w:rPr>
                <w:rFonts w:ascii="Arial" w:hAnsi="Arial" w:cs="Arial"/>
                <w:sz w:val="20"/>
              </w:rPr>
              <w:t xml:space="preserve">Przynajmniej w początkowym okresie wdrażania FEP można spodziewać się zawirowań gospodarczych negatywnie odbijających się na potencjale inwestycyjnym przedsiębiorstw. Może to prowadzić do ograniczonego zainteresowania ubieganiem się o wsparcie – w szczególności na wysoce kosztochłonne i ryzykowne </w:t>
            </w:r>
            <w:r w:rsidRPr="00F74C6F">
              <w:rPr>
                <w:rFonts w:ascii="Arial" w:hAnsi="Arial" w:cs="Arial"/>
                <w:sz w:val="20"/>
              </w:rPr>
              <w:lastRenderedPageBreak/>
              <w:t>projekty z obszaru badań i rozwoju.</w:t>
            </w:r>
          </w:p>
          <w:p w14:paraId="67A13216" w14:textId="77777777" w:rsidR="00F157D7" w:rsidRPr="00F74C6F" w:rsidRDefault="00F157D7" w:rsidP="00F157D7">
            <w:pPr>
              <w:rPr>
                <w:rFonts w:ascii="Arial" w:hAnsi="Arial" w:cs="Arial"/>
                <w:sz w:val="20"/>
              </w:rPr>
            </w:pPr>
          </w:p>
          <w:p w14:paraId="4DD4F1F8" w14:textId="2E0B7692" w:rsidR="00F157D7" w:rsidRPr="00307C43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  <w:r w:rsidRPr="00F74C6F">
              <w:rPr>
                <w:rFonts w:ascii="Arial" w:hAnsi="Arial" w:cs="Arial"/>
                <w:sz w:val="20"/>
              </w:rPr>
              <w:t>Wsparcie z poziomu regionalnego powinno być konkurencyjne względem wsparcia z poziomu kr</w:t>
            </w:r>
            <w:r>
              <w:rPr>
                <w:rFonts w:ascii="Arial" w:hAnsi="Arial" w:cs="Arial"/>
                <w:sz w:val="20"/>
              </w:rPr>
              <w:t>ajowego</w:t>
            </w:r>
            <w:r w:rsidRPr="00F74C6F">
              <w:rPr>
                <w:rFonts w:ascii="Arial" w:hAnsi="Arial" w:cs="Arial"/>
                <w:sz w:val="20"/>
              </w:rPr>
              <w:t xml:space="preserve"> </w:t>
            </w:r>
            <w:bookmarkStart w:id="4" w:name="_Hlk131763144"/>
            <w:r w:rsidRPr="00F74C6F">
              <w:rPr>
                <w:rFonts w:ascii="Arial" w:hAnsi="Arial" w:cs="Arial"/>
                <w:sz w:val="20"/>
              </w:rPr>
              <w:t>(s. 76, 130-131, 145).</w:t>
            </w:r>
            <w:bookmarkEnd w:id="4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9E7E" w14:textId="08D08D31" w:rsidR="00F157D7" w:rsidRPr="00307C43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  <w:r w:rsidRPr="00F74C6F">
              <w:rPr>
                <w:rFonts w:ascii="Arial" w:hAnsi="Arial" w:cs="Arial"/>
                <w:sz w:val="20"/>
              </w:rPr>
              <w:lastRenderedPageBreak/>
              <w:t>Wprowadzenie rozwiązań, które pozwolą na minimalizację obciążeń finansowych firm związanych z realizacją projektów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3B17" w14:textId="43C55596" w:rsidR="00F157D7" w:rsidRPr="00307C43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  <w:r w:rsidRPr="00F74C6F">
              <w:rPr>
                <w:rFonts w:ascii="Arial" w:hAnsi="Arial" w:cs="Arial"/>
                <w:sz w:val="20"/>
              </w:rPr>
              <w:t>IZ FEP 2021-2027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205E" w14:textId="404D0E05" w:rsidR="00F157D7" w:rsidRPr="00F74C6F" w:rsidRDefault="00F157D7" w:rsidP="00F157D7">
            <w:pPr>
              <w:rPr>
                <w:rFonts w:ascii="Arial" w:hAnsi="Arial" w:cs="Arial"/>
                <w:sz w:val="20"/>
              </w:rPr>
            </w:pPr>
            <w:r w:rsidRPr="00F74C6F">
              <w:rPr>
                <w:rFonts w:ascii="Arial" w:hAnsi="Arial" w:cs="Arial"/>
                <w:sz w:val="20"/>
              </w:rPr>
              <w:t>Maksymalnie szerokie wykorzystani</w:t>
            </w:r>
            <w:r w:rsidR="005E0154">
              <w:rPr>
                <w:rFonts w:ascii="Arial" w:hAnsi="Arial" w:cs="Arial"/>
                <w:sz w:val="20"/>
              </w:rPr>
              <w:t>e</w:t>
            </w:r>
            <w:r w:rsidRPr="00F74C6F">
              <w:rPr>
                <w:rFonts w:ascii="Arial" w:hAnsi="Arial" w:cs="Arial"/>
                <w:sz w:val="20"/>
              </w:rPr>
              <w:t xml:space="preserve"> płatności zaliczkowych połączone z przyjęciem kilkumiesięcznego terminu na rozliczenie zaliczki lub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74C6F">
              <w:rPr>
                <w:rFonts w:ascii="Arial" w:hAnsi="Arial" w:cs="Arial"/>
                <w:sz w:val="20"/>
              </w:rPr>
              <w:t>przeprowadzanie każdorazowo analiz dotyczących celowości stosowania kryterium punktującego dodatkowy wkład własny lub</w:t>
            </w:r>
          </w:p>
          <w:p w14:paraId="338BA9D0" w14:textId="2E7FE168" w:rsidR="00F157D7" w:rsidRPr="00307C43" w:rsidRDefault="00F157D7" w:rsidP="005E0154">
            <w:pPr>
              <w:rPr>
                <w:rFonts w:ascii="Arial" w:hAnsi="Arial" w:cs="Arial"/>
                <w:sz w:val="20"/>
                <w:szCs w:val="20"/>
              </w:rPr>
            </w:pPr>
            <w:r w:rsidRPr="00F74C6F">
              <w:rPr>
                <w:rFonts w:ascii="Arial" w:hAnsi="Arial" w:cs="Arial"/>
                <w:sz w:val="20"/>
              </w:rPr>
              <w:lastRenderedPageBreak/>
              <w:t>ograniczenie do niezbędnego minimum takich kryteriów, których spełnienie wymagałoby poniesienia przez wnioskodawcę dodatkowych kosztów, zbędnych z punktu widzenia zakresu przedmiotowego projektu i możliwości osiągnięcia jego celów lub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74C6F">
              <w:rPr>
                <w:rFonts w:ascii="Arial" w:hAnsi="Arial" w:cs="Arial"/>
                <w:sz w:val="20"/>
              </w:rPr>
              <w:t>redukcja obciążeń administracyjnych, które z punktu widzenia firm przekładają się na dodatkowe koszty jakie muszą ponieść w związku z realizacją projektu (np. maksymalnie szerokie stosowanie uproszczonych metod rozliczania wydatków)</w:t>
            </w:r>
            <w:r>
              <w:rPr>
                <w:rFonts w:ascii="Arial" w:hAnsi="Arial" w:cs="Arial"/>
                <w:sz w:val="20"/>
              </w:rPr>
              <w:t>.</w:t>
            </w:r>
            <w:r w:rsidRPr="00F74C6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5CD8" w14:textId="191918E8" w:rsidR="00F157D7" w:rsidRPr="00307C43" w:rsidRDefault="00B028E3" w:rsidP="00F15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31.12</w:t>
            </w:r>
            <w:r w:rsidR="00F157D7" w:rsidRPr="00F74C6F">
              <w:rPr>
                <w:rFonts w:ascii="Arial" w:hAnsi="Arial" w:cs="Arial"/>
                <w:sz w:val="20"/>
              </w:rPr>
              <w:t>.2023 r.</w:t>
            </w:r>
          </w:p>
        </w:tc>
        <w:tc>
          <w:tcPr>
            <w:tcW w:w="2601" w:type="dxa"/>
          </w:tcPr>
          <w:p w14:paraId="2C3C7A80" w14:textId="0E72AAA9" w:rsidR="00F157D7" w:rsidRPr="00307C43" w:rsidRDefault="00F157D7" w:rsidP="00F157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D7" w:rsidRPr="00BB3F2B" w14:paraId="63F31DCB" w14:textId="77777777" w:rsidTr="00F157D7">
        <w:trPr>
          <w:trHeight w:val="422"/>
        </w:trPr>
        <w:tc>
          <w:tcPr>
            <w:tcW w:w="534" w:type="dxa"/>
            <w:vMerge/>
          </w:tcPr>
          <w:p w14:paraId="1B3612EA" w14:textId="77777777" w:rsidR="00F157D7" w:rsidRPr="00307C43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shd w:val="pct10" w:color="auto" w:fill="auto"/>
            <w:vAlign w:val="center"/>
          </w:tcPr>
          <w:p w14:paraId="04805801" w14:textId="77777777" w:rsidR="00F157D7" w:rsidRPr="00307C43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  <w:r w:rsidRPr="00307C43">
              <w:rPr>
                <w:rFonts w:ascii="Arial" w:hAnsi="Arial" w:cs="Arial"/>
                <w:b/>
                <w:sz w:val="20"/>
                <w:szCs w:val="20"/>
              </w:rPr>
              <w:t>Klasa rekomendacji</w:t>
            </w:r>
          </w:p>
        </w:tc>
        <w:tc>
          <w:tcPr>
            <w:tcW w:w="3686" w:type="dxa"/>
            <w:gridSpan w:val="2"/>
            <w:vAlign w:val="center"/>
          </w:tcPr>
          <w:p w14:paraId="4ABCCC4B" w14:textId="6DDD02F7" w:rsidR="00F157D7" w:rsidRPr="00307C43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Rekomendacja</w:t>
            </w:r>
            <w:r w:rsidRPr="0020474C">
              <w:rPr>
                <w:rFonts w:ascii="Arial" w:hAnsi="Arial" w:cs="Arial"/>
                <w:sz w:val="20"/>
                <w:szCs w:val="20"/>
              </w:rPr>
              <w:t xml:space="preserve"> programowa</w:t>
            </w:r>
          </w:p>
        </w:tc>
        <w:tc>
          <w:tcPr>
            <w:tcW w:w="2977" w:type="dxa"/>
            <w:shd w:val="pct10" w:color="auto" w:fill="auto"/>
            <w:vAlign w:val="center"/>
          </w:tcPr>
          <w:p w14:paraId="47F64059" w14:textId="77777777" w:rsidR="00F157D7" w:rsidRPr="00307C43" w:rsidRDefault="00F157D7" w:rsidP="00F15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7C43">
              <w:rPr>
                <w:rFonts w:ascii="Arial" w:hAnsi="Arial" w:cs="Arial"/>
                <w:b/>
                <w:sz w:val="20"/>
                <w:szCs w:val="20"/>
              </w:rPr>
              <w:t>Podklasa rekomendacji</w:t>
            </w:r>
          </w:p>
        </w:tc>
        <w:tc>
          <w:tcPr>
            <w:tcW w:w="4160" w:type="dxa"/>
            <w:gridSpan w:val="2"/>
            <w:vAlign w:val="center"/>
          </w:tcPr>
          <w:p w14:paraId="4D0F6DC6" w14:textId="716E1E82" w:rsidR="00F157D7" w:rsidRPr="00307C43" w:rsidRDefault="00F157D7" w:rsidP="00F157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7C43">
              <w:rPr>
                <w:rFonts w:ascii="Arial" w:hAnsi="Arial" w:cs="Arial"/>
                <w:sz w:val="20"/>
                <w:szCs w:val="20"/>
                <w:lang w:eastAsia="ja-JP"/>
              </w:rPr>
              <w:t>Rekomendacja operacyjna</w:t>
            </w:r>
          </w:p>
        </w:tc>
      </w:tr>
      <w:tr w:rsidR="00F157D7" w:rsidRPr="00BB3F2B" w14:paraId="4BA25D5C" w14:textId="77777777" w:rsidTr="00F157D7">
        <w:trPr>
          <w:trHeight w:val="422"/>
        </w:trPr>
        <w:tc>
          <w:tcPr>
            <w:tcW w:w="534" w:type="dxa"/>
            <w:vMerge/>
          </w:tcPr>
          <w:p w14:paraId="00CADEEC" w14:textId="77777777" w:rsidR="00F157D7" w:rsidRPr="00307C43" w:rsidRDefault="00F157D7" w:rsidP="00F157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3" w:type="dxa"/>
            <w:shd w:val="pct10" w:color="auto" w:fill="auto"/>
            <w:vAlign w:val="center"/>
          </w:tcPr>
          <w:p w14:paraId="01D6C5FA" w14:textId="77777777" w:rsidR="00F157D7" w:rsidRPr="00307C43" w:rsidRDefault="00F157D7" w:rsidP="00F157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7C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Obszar tematyczny </w:t>
            </w:r>
          </w:p>
        </w:tc>
        <w:tc>
          <w:tcPr>
            <w:tcW w:w="3686" w:type="dxa"/>
            <w:gridSpan w:val="2"/>
            <w:vAlign w:val="center"/>
          </w:tcPr>
          <w:p w14:paraId="2775AAD1" w14:textId="52C7B624" w:rsidR="00F157D7" w:rsidRPr="00307C43" w:rsidRDefault="00F157D7" w:rsidP="00F157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0474C">
              <w:rPr>
                <w:rFonts w:ascii="Arial" w:hAnsi="Arial" w:cs="Arial"/>
                <w:sz w:val="20"/>
                <w:szCs w:val="20"/>
              </w:rPr>
              <w:t>nnowacyjność oraz badania i rozwój</w:t>
            </w:r>
          </w:p>
        </w:tc>
        <w:tc>
          <w:tcPr>
            <w:tcW w:w="2977" w:type="dxa"/>
            <w:shd w:val="pct10" w:color="auto" w:fill="auto"/>
            <w:vAlign w:val="center"/>
          </w:tcPr>
          <w:p w14:paraId="6826CC3B" w14:textId="77777777" w:rsidR="00F157D7" w:rsidRPr="00307C43" w:rsidRDefault="00F157D7" w:rsidP="00F157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7C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Program operacyjny</w:t>
            </w:r>
          </w:p>
        </w:tc>
        <w:tc>
          <w:tcPr>
            <w:tcW w:w="4160" w:type="dxa"/>
            <w:gridSpan w:val="2"/>
            <w:vAlign w:val="center"/>
          </w:tcPr>
          <w:p w14:paraId="3375DCBF" w14:textId="4746A511" w:rsidR="00F157D7" w:rsidRPr="00307C43" w:rsidRDefault="00F157D7" w:rsidP="00F157D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7C43">
              <w:rPr>
                <w:rFonts w:ascii="Arial" w:hAnsi="Arial" w:cs="Arial"/>
                <w:sz w:val="20"/>
                <w:szCs w:val="20"/>
                <w:lang w:eastAsia="ja-JP"/>
              </w:rPr>
              <w:t>Fundusze Europejskie dla Podkarpacia 2021-2027</w:t>
            </w:r>
          </w:p>
        </w:tc>
      </w:tr>
      <w:tr w:rsidR="00F157D7" w:rsidRPr="00BB3F2B" w14:paraId="32EAF34E" w14:textId="77777777" w:rsidTr="008D52D9">
        <w:trPr>
          <w:trHeight w:val="70"/>
        </w:trPr>
        <w:tc>
          <w:tcPr>
            <w:tcW w:w="534" w:type="dxa"/>
            <w:vMerge/>
          </w:tcPr>
          <w:p w14:paraId="2EE46153" w14:textId="77777777" w:rsidR="00F157D7" w:rsidRPr="00307C43" w:rsidRDefault="00F157D7" w:rsidP="00F157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3" w:type="dxa"/>
            <w:shd w:val="pct10" w:color="auto" w:fill="auto"/>
          </w:tcPr>
          <w:p w14:paraId="0A766AE6" w14:textId="77777777" w:rsidR="00F157D7" w:rsidRPr="00307C43" w:rsidRDefault="00F157D7" w:rsidP="00F157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7C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Bazowy status rekomendacji</w:t>
            </w:r>
          </w:p>
        </w:tc>
        <w:tc>
          <w:tcPr>
            <w:tcW w:w="10823" w:type="dxa"/>
            <w:gridSpan w:val="5"/>
            <w:vAlign w:val="center"/>
          </w:tcPr>
          <w:p w14:paraId="7BEFA070" w14:textId="50714F55" w:rsidR="00F157D7" w:rsidRPr="00307C43" w:rsidRDefault="005E0154" w:rsidP="00F157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0154">
              <w:rPr>
                <w:rFonts w:ascii="Arial" w:hAnsi="Arial" w:cs="Arial"/>
                <w:color w:val="000000" w:themeColor="text1"/>
                <w:sz w:val="20"/>
                <w:szCs w:val="20"/>
              </w:rPr>
              <w:t>Rekomendacja zatwierdzona w całości (realizowana)</w:t>
            </w:r>
          </w:p>
        </w:tc>
      </w:tr>
      <w:tr w:rsidR="00F157D7" w:rsidRPr="00BB3F2B" w14:paraId="1520BDFE" w14:textId="77777777" w:rsidTr="00F157D7">
        <w:trPr>
          <w:trHeight w:val="708"/>
        </w:trPr>
        <w:tc>
          <w:tcPr>
            <w:tcW w:w="534" w:type="dxa"/>
            <w:vMerge w:val="restart"/>
          </w:tcPr>
          <w:p w14:paraId="7A84D2AC" w14:textId="261875F1" w:rsidR="00F157D7" w:rsidRPr="00307C43" w:rsidRDefault="00F157D7" w:rsidP="00F1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C4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482C" w14:textId="0C583DFA" w:rsidR="00F157D7" w:rsidRPr="00307C43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  <w:r w:rsidRPr="00F74C6F">
              <w:rPr>
                <w:rFonts w:ascii="Arial" w:hAnsi="Arial" w:cs="Arial"/>
                <w:sz w:val="20"/>
                <w:szCs w:val="20"/>
              </w:rPr>
              <w:t xml:space="preserve">Przynajmniej w początkowym okresie wdrażania FEP można spodziewać się zawirowań gospodarczych negatywnie odbijających się na potencjale inwestycyjnym przedsiębiorstw. Może to prowadzić do ograniczonego zainteresowania ubieganiem się o wsparcie – w szczególności na wysoce </w:t>
            </w:r>
            <w:r w:rsidRPr="00F74C6F">
              <w:rPr>
                <w:rFonts w:ascii="Arial" w:hAnsi="Arial" w:cs="Arial"/>
                <w:sz w:val="20"/>
                <w:szCs w:val="20"/>
              </w:rPr>
              <w:lastRenderedPageBreak/>
              <w:t xml:space="preserve">kosztochłonne i ryzykowne projekty z obszaru badań i rozwoju </w:t>
            </w:r>
            <w:bookmarkStart w:id="5" w:name="_Hlk131763153"/>
            <w:r w:rsidRPr="00F74C6F">
              <w:rPr>
                <w:rFonts w:ascii="Arial" w:hAnsi="Arial" w:cs="Arial"/>
                <w:sz w:val="20"/>
                <w:szCs w:val="20"/>
              </w:rPr>
              <w:t>(s. 76, 130-131, 145).</w:t>
            </w:r>
            <w:bookmarkEnd w:id="5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7D47" w14:textId="304E46A2" w:rsidR="00F157D7" w:rsidRPr="00307C43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  <w:r w:rsidRPr="00F74C6F">
              <w:rPr>
                <w:rFonts w:ascii="Arial" w:hAnsi="Arial" w:cs="Arial"/>
                <w:sz w:val="20"/>
                <w:szCs w:val="20"/>
              </w:rPr>
              <w:lastRenderedPageBreak/>
              <w:t>Wprowadzenie rozwiązań, które pozwolą na minimalizację obciążeń finansowych firm związanych z realizacją projektów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D698" w14:textId="45F89223" w:rsidR="00F157D7" w:rsidRPr="00307C43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  <w:r w:rsidRPr="00F74C6F">
              <w:rPr>
                <w:rFonts w:ascii="Arial" w:hAnsi="Arial" w:cs="Arial"/>
                <w:sz w:val="20"/>
                <w:szCs w:val="20"/>
              </w:rPr>
              <w:t>Instytucja Koordynująca Umowę Partnerstwa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8234" w14:textId="6C0B2805" w:rsidR="00F157D7" w:rsidRPr="00307C43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  <w:r w:rsidRPr="00F74C6F">
              <w:rPr>
                <w:rFonts w:ascii="Arial" w:hAnsi="Arial" w:cs="Arial"/>
                <w:sz w:val="20"/>
                <w:szCs w:val="20"/>
              </w:rPr>
              <w:t xml:space="preserve">Redukcja obciążeń administracyjnych, które z punktu widzenia firm przekładają się na dodatkowe koszty jakie muszą ponieść w związku z realizacją projektu (np. rezygnacja z obowiązków wypełniania w SL bazy personelu, podniesienie progu, od którego będzie </w:t>
            </w:r>
            <w:r w:rsidRPr="00F74C6F">
              <w:rPr>
                <w:rFonts w:ascii="Arial" w:hAnsi="Arial" w:cs="Arial"/>
                <w:sz w:val="20"/>
                <w:szCs w:val="20"/>
              </w:rPr>
              <w:lastRenderedPageBreak/>
              <w:t>obowiązywać procedura konkurencyjności)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B778" w14:textId="030B49D2" w:rsidR="00F157D7" w:rsidRPr="00307C43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  <w:r w:rsidRPr="00F74C6F">
              <w:rPr>
                <w:rFonts w:ascii="Arial" w:hAnsi="Arial" w:cs="Arial"/>
                <w:sz w:val="20"/>
                <w:szCs w:val="20"/>
              </w:rPr>
              <w:lastRenderedPageBreak/>
              <w:t>30.09.2023 r.</w:t>
            </w:r>
          </w:p>
        </w:tc>
        <w:tc>
          <w:tcPr>
            <w:tcW w:w="2601" w:type="dxa"/>
          </w:tcPr>
          <w:p w14:paraId="1CE84160" w14:textId="6A3BB637" w:rsidR="00F157D7" w:rsidRPr="00307C43" w:rsidRDefault="00B028E3" w:rsidP="00F15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Rekomendacja, w związku z przyznaną jej klasą rekomendacji horyzontalnej zostanie przekazana do Krajowej Jednostki Ewaluacji w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MFiPR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celem dalszego procedowania, zgodnie z założeniami </w:t>
            </w:r>
            <w:r w:rsidRPr="00FD1D6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Wytycznych w zakresie ewaluacji polityki </w:t>
            </w:r>
            <w:r w:rsidRPr="00FD1D6E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>spójności na lata 2014-2020.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  <w:tr w:rsidR="00F157D7" w:rsidRPr="00BB3F2B" w14:paraId="790241F7" w14:textId="77777777" w:rsidTr="00F157D7">
        <w:trPr>
          <w:trHeight w:val="393"/>
        </w:trPr>
        <w:tc>
          <w:tcPr>
            <w:tcW w:w="534" w:type="dxa"/>
            <w:vMerge/>
          </w:tcPr>
          <w:p w14:paraId="24258301" w14:textId="77777777" w:rsidR="00F157D7" w:rsidRPr="00307C43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shd w:val="pct10" w:color="auto" w:fill="auto"/>
            <w:vAlign w:val="center"/>
          </w:tcPr>
          <w:p w14:paraId="4E1F8D03" w14:textId="77777777" w:rsidR="00F157D7" w:rsidRPr="00307C43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  <w:r w:rsidRPr="00307C43">
              <w:rPr>
                <w:rFonts w:ascii="Arial" w:hAnsi="Arial" w:cs="Arial"/>
                <w:b/>
                <w:sz w:val="20"/>
                <w:szCs w:val="20"/>
              </w:rPr>
              <w:t>Klasa rekomendacji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2B718927" w14:textId="2DEC3D53" w:rsidR="00F157D7" w:rsidRPr="00307C43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Rekomendacja h</w:t>
            </w:r>
            <w:r w:rsidRPr="00510A8C">
              <w:rPr>
                <w:rFonts w:ascii="Arial" w:hAnsi="Arial" w:cs="Arial"/>
                <w:sz w:val="20"/>
                <w:szCs w:val="20"/>
              </w:rPr>
              <w:t>oryzontalna</w:t>
            </w:r>
          </w:p>
        </w:tc>
        <w:tc>
          <w:tcPr>
            <w:tcW w:w="2977" w:type="dxa"/>
            <w:shd w:val="pct10" w:color="auto" w:fill="auto"/>
            <w:vAlign w:val="center"/>
          </w:tcPr>
          <w:p w14:paraId="3DA76792" w14:textId="77777777" w:rsidR="00F157D7" w:rsidRPr="00307C43" w:rsidRDefault="00F157D7" w:rsidP="00F15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7C43">
              <w:rPr>
                <w:rFonts w:ascii="Arial" w:hAnsi="Arial" w:cs="Arial"/>
                <w:b/>
                <w:sz w:val="20"/>
                <w:szCs w:val="20"/>
              </w:rPr>
              <w:t>Podklasa rekomendacji</w:t>
            </w:r>
          </w:p>
        </w:tc>
        <w:tc>
          <w:tcPr>
            <w:tcW w:w="4160" w:type="dxa"/>
            <w:gridSpan w:val="2"/>
            <w:tcBorders>
              <w:bottom w:val="single" w:sz="4" w:space="0" w:color="auto"/>
            </w:tcBorders>
            <w:vAlign w:val="center"/>
          </w:tcPr>
          <w:p w14:paraId="5A3D340A" w14:textId="633E3717" w:rsidR="00F157D7" w:rsidRPr="00307C43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Rekomendacja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o</w:t>
            </w:r>
            <w:r w:rsidRPr="00BB3F2B">
              <w:rPr>
                <w:rFonts w:ascii="Arial" w:hAnsi="Arial" w:cs="Arial"/>
                <w:sz w:val="20"/>
                <w:szCs w:val="20"/>
                <w:lang w:eastAsia="ja-JP"/>
              </w:rPr>
              <w:t>peracyjna</w:t>
            </w:r>
          </w:p>
        </w:tc>
      </w:tr>
      <w:tr w:rsidR="00F157D7" w:rsidRPr="00BB3F2B" w14:paraId="10F91112" w14:textId="77777777" w:rsidTr="00F157D7">
        <w:trPr>
          <w:trHeight w:val="422"/>
        </w:trPr>
        <w:tc>
          <w:tcPr>
            <w:tcW w:w="534" w:type="dxa"/>
            <w:vMerge/>
          </w:tcPr>
          <w:p w14:paraId="66A994DE" w14:textId="77777777" w:rsidR="00F157D7" w:rsidRPr="00307C43" w:rsidRDefault="00F157D7" w:rsidP="00F157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3" w:type="dxa"/>
            <w:shd w:val="pct10" w:color="auto" w:fill="auto"/>
            <w:vAlign w:val="center"/>
          </w:tcPr>
          <w:p w14:paraId="12C0F778" w14:textId="77777777" w:rsidR="00F157D7" w:rsidRPr="00307C43" w:rsidRDefault="00F157D7" w:rsidP="00F157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7C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Obszar tematyczny 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0FE282E0" w14:textId="5AF9594A" w:rsidR="00F157D7" w:rsidRPr="00307C43" w:rsidRDefault="00F157D7" w:rsidP="00F157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510A8C">
              <w:rPr>
                <w:rFonts w:ascii="Arial" w:hAnsi="Arial" w:cs="Arial"/>
                <w:color w:val="000000" w:themeColor="text1"/>
                <w:sz w:val="20"/>
                <w:szCs w:val="20"/>
              </w:rPr>
              <w:t>nnowacyjność oraz badania i rozwój</w:t>
            </w:r>
          </w:p>
        </w:tc>
        <w:tc>
          <w:tcPr>
            <w:tcW w:w="2977" w:type="dxa"/>
            <w:shd w:val="pct10" w:color="auto" w:fill="auto"/>
            <w:vAlign w:val="center"/>
          </w:tcPr>
          <w:p w14:paraId="7FC37B67" w14:textId="77777777" w:rsidR="00F157D7" w:rsidRPr="00307C43" w:rsidRDefault="00F157D7" w:rsidP="00F157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7C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Program operacyjny</w:t>
            </w:r>
          </w:p>
        </w:tc>
        <w:tc>
          <w:tcPr>
            <w:tcW w:w="4160" w:type="dxa"/>
            <w:gridSpan w:val="2"/>
            <w:tcBorders>
              <w:bottom w:val="single" w:sz="4" w:space="0" w:color="auto"/>
            </w:tcBorders>
            <w:vAlign w:val="center"/>
          </w:tcPr>
          <w:p w14:paraId="096208D2" w14:textId="41A1B978" w:rsidR="00F157D7" w:rsidRPr="00307C43" w:rsidRDefault="00F157D7" w:rsidP="00F157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W</w:t>
            </w:r>
            <w:r w:rsidRPr="00F74C6F">
              <w:rPr>
                <w:rFonts w:ascii="Arial" w:hAnsi="Arial" w:cs="Arial"/>
                <w:sz w:val="20"/>
                <w:szCs w:val="20"/>
                <w:lang w:eastAsia="ja-JP"/>
              </w:rPr>
              <w:t xml:space="preserve">ięcej niż </w:t>
            </w:r>
            <w:r w:rsidRPr="0020474C">
              <w:rPr>
                <w:rFonts w:ascii="Arial" w:hAnsi="Arial" w:cs="Arial"/>
                <w:sz w:val="20"/>
                <w:szCs w:val="20"/>
                <w:lang w:eastAsia="ja-JP"/>
              </w:rPr>
              <w:t>j</w:t>
            </w:r>
            <w:r w:rsidRPr="00F74C6F">
              <w:rPr>
                <w:rFonts w:ascii="Arial" w:hAnsi="Arial" w:cs="Arial"/>
                <w:sz w:val="20"/>
                <w:szCs w:val="20"/>
                <w:lang w:eastAsia="ja-JP"/>
              </w:rPr>
              <w:t>eden program</w:t>
            </w:r>
          </w:p>
        </w:tc>
      </w:tr>
      <w:tr w:rsidR="00F157D7" w:rsidRPr="00BB3F2B" w14:paraId="7E83046D" w14:textId="77777777" w:rsidTr="008D52D9">
        <w:trPr>
          <w:trHeight w:val="70"/>
        </w:trPr>
        <w:tc>
          <w:tcPr>
            <w:tcW w:w="534" w:type="dxa"/>
            <w:vMerge/>
          </w:tcPr>
          <w:p w14:paraId="3E109C88" w14:textId="77777777" w:rsidR="00F157D7" w:rsidRPr="00307C43" w:rsidRDefault="00F157D7" w:rsidP="00F157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3" w:type="dxa"/>
            <w:shd w:val="pct10" w:color="auto" w:fill="auto"/>
          </w:tcPr>
          <w:p w14:paraId="1E51E1B4" w14:textId="77777777" w:rsidR="00F157D7" w:rsidRPr="00307C43" w:rsidRDefault="00F157D7" w:rsidP="00F157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7C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Bazowy status rekomendacji</w:t>
            </w:r>
          </w:p>
        </w:tc>
        <w:tc>
          <w:tcPr>
            <w:tcW w:w="10823" w:type="dxa"/>
            <w:gridSpan w:val="5"/>
            <w:vAlign w:val="center"/>
          </w:tcPr>
          <w:p w14:paraId="464C7721" w14:textId="3B57966B" w:rsidR="00F157D7" w:rsidRPr="00307C43" w:rsidRDefault="006F5FF2" w:rsidP="00F157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F157D7" w:rsidRPr="00BB3F2B" w14:paraId="03637BA3" w14:textId="77777777" w:rsidTr="00F905D3">
        <w:trPr>
          <w:trHeight w:val="708"/>
        </w:trPr>
        <w:tc>
          <w:tcPr>
            <w:tcW w:w="534" w:type="dxa"/>
            <w:vMerge w:val="restart"/>
          </w:tcPr>
          <w:p w14:paraId="2926CD69" w14:textId="160D9219" w:rsidR="00F157D7" w:rsidRPr="00307C43" w:rsidRDefault="00F157D7" w:rsidP="00F1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C4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63" w:type="dxa"/>
            <w:tcBorders>
              <w:top w:val="single" w:sz="8" w:space="0" w:color="auto"/>
            </w:tcBorders>
          </w:tcPr>
          <w:p w14:paraId="64C08377" w14:textId="1481DA27" w:rsidR="00F157D7" w:rsidRPr="00307C43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  <w:r w:rsidRPr="00F74C6F">
              <w:rPr>
                <w:rFonts w:ascii="Arial" w:hAnsi="Arial" w:cs="Arial"/>
                <w:sz w:val="20"/>
              </w:rPr>
              <w:t>W FEP 2021-2027 w ograniczonym zakresie dostępne będzie wsparcie inwestycyjne przedsiębiorstw przeznaczone na zakup maszyn i urządzeń. W to miejsce planuje się wsparcie w postaci instrumentu finansowego. Obecna charakterystyka instrumentu finansowego a przede wszystkim maksymalna wartość pożyczki spowoduje, że przedsiębiorcy z grup docelowych będących beneficjentami dotacji w Poddziałaniu 1.4.1., realizujące duże inwestycje nie znajdą adekwatnego instr</w:t>
            </w:r>
            <w:r>
              <w:rPr>
                <w:rFonts w:ascii="Arial" w:hAnsi="Arial" w:cs="Arial"/>
                <w:sz w:val="20"/>
              </w:rPr>
              <w:t>umentu wsparcia w FEP 2021-2027</w:t>
            </w:r>
            <w:r w:rsidRPr="00F74C6F">
              <w:rPr>
                <w:rFonts w:ascii="Arial" w:hAnsi="Arial" w:cs="Arial"/>
                <w:sz w:val="20"/>
              </w:rPr>
              <w:t xml:space="preserve"> </w:t>
            </w:r>
            <w:bookmarkStart w:id="6" w:name="_Hlk131763162"/>
            <w:r w:rsidRPr="00F74C6F">
              <w:rPr>
                <w:rFonts w:ascii="Arial" w:hAnsi="Arial" w:cs="Arial"/>
                <w:sz w:val="20"/>
              </w:rPr>
              <w:t>(s. 138)</w:t>
            </w:r>
            <w:bookmarkEnd w:id="6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8" w:space="0" w:color="auto"/>
            </w:tcBorders>
          </w:tcPr>
          <w:p w14:paraId="17CDEA64" w14:textId="549ABEB1" w:rsidR="00F157D7" w:rsidRPr="00307C43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  <w:r w:rsidRPr="00F74C6F">
              <w:rPr>
                <w:rFonts w:ascii="Arial" w:hAnsi="Arial" w:cs="Arial"/>
                <w:sz w:val="20"/>
              </w:rPr>
              <w:t>Proponuje się podniesienie maksymalnej wartości pożyczki dostępnej dla przedsiębiorców przeznaczonej na wsparcie inwestycji polegających na zakupie środków trwałych (maszyn i urządzeń).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51A5AD15" w14:textId="4F9272CD" w:rsidR="00F157D7" w:rsidRPr="00307C43" w:rsidRDefault="00F157D7" w:rsidP="005E0154">
            <w:pPr>
              <w:rPr>
                <w:rFonts w:ascii="Arial" w:hAnsi="Arial" w:cs="Arial"/>
                <w:sz w:val="20"/>
                <w:szCs w:val="20"/>
              </w:rPr>
            </w:pPr>
            <w:r w:rsidRPr="00F74C6F">
              <w:rPr>
                <w:rFonts w:ascii="Arial" w:hAnsi="Arial" w:cs="Arial"/>
                <w:sz w:val="20"/>
              </w:rPr>
              <w:t xml:space="preserve">IZ FEP 2021-2027 </w:t>
            </w:r>
          </w:p>
        </w:tc>
        <w:tc>
          <w:tcPr>
            <w:tcW w:w="2977" w:type="dxa"/>
            <w:tcBorders>
              <w:top w:val="single" w:sz="8" w:space="0" w:color="auto"/>
            </w:tcBorders>
          </w:tcPr>
          <w:p w14:paraId="50902E81" w14:textId="404B0EE5" w:rsidR="00F157D7" w:rsidRPr="00307C43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  <w:r w:rsidRPr="00F74C6F">
              <w:rPr>
                <w:rFonts w:ascii="Arial" w:hAnsi="Arial" w:cs="Arial"/>
                <w:sz w:val="20"/>
              </w:rPr>
              <w:t>Zasadność i skala zwiększenia maksymalnej wartości pożyczki powinna być przedmiotem badania: Ocena ex-</w:t>
            </w:r>
            <w:proofErr w:type="spellStart"/>
            <w:r w:rsidRPr="00F74C6F">
              <w:rPr>
                <w:rFonts w:ascii="Arial" w:hAnsi="Arial" w:cs="Arial"/>
                <w:sz w:val="20"/>
              </w:rPr>
              <w:t>ante</w:t>
            </w:r>
            <w:proofErr w:type="spellEnd"/>
            <w:r w:rsidRPr="00F74C6F">
              <w:rPr>
                <w:rFonts w:ascii="Arial" w:hAnsi="Arial" w:cs="Arial"/>
                <w:sz w:val="20"/>
              </w:rPr>
              <w:t xml:space="preserve"> instrumentów finansowych.  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424F59A2" w14:textId="25CAFC40" w:rsidR="00F157D7" w:rsidRPr="00307C43" w:rsidRDefault="00B028E3" w:rsidP="00F15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31.12</w:t>
            </w:r>
            <w:r w:rsidR="00F157D7" w:rsidRPr="00F74C6F">
              <w:rPr>
                <w:rFonts w:ascii="Arial" w:hAnsi="Arial" w:cs="Arial"/>
                <w:sz w:val="20"/>
              </w:rPr>
              <w:t xml:space="preserve">.2023 r. </w:t>
            </w:r>
          </w:p>
        </w:tc>
        <w:tc>
          <w:tcPr>
            <w:tcW w:w="2601" w:type="dxa"/>
          </w:tcPr>
          <w:p w14:paraId="792E619B" w14:textId="77777777" w:rsidR="00F157D7" w:rsidRPr="00307C43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D7" w:rsidRPr="00BB3F2B" w14:paraId="4EF4F259" w14:textId="77777777" w:rsidTr="00F157D7">
        <w:trPr>
          <w:trHeight w:val="425"/>
        </w:trPr>
        <w:tc>
          <w:tcPr>
            <w:tcW w:w="534" w:type="dxa"/>
            <w:vMerge/>
          </w:tcPr>
          <w:p w14:paraId="1A8AC74D" w14:textId="77777777" w:rsidR="00F157D7" w:rsidRPr="00307C43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shd w:val="pct10" w:color="auto" w:fill="auto"/>
            <w:vAlign w:val="center"/>
          </w:tcPr>
          <w:p w14:paraId="590C9975" w14:textId="77777777" w:rsidR="00F157D7" w:rsidRPr="00307C43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  <w:r w:rsidRPr="00307C43">
              <w:rPr>
                <w:rFonts w:ascii="Arial" w:hAnsi="Arial" w:cs="Arial"/>
                <w:b/>
                <w:sz w:val="20"/>
                <w:szCs w:val="20"/>
              </w:rPr>
              <w:t>Klasa rekomendacji</w:t>
            </w:r>
          </w:p>
        </w:tc>
        <w:tc>
          <w:tcPr>
            <w:tcW w:w="3686" w:type="dxa"/>
            <w:gridSpan w:val="2"/>
            <w:vAlign w:val="center"/>
          </w:tcPr>
          <w:p w14:paraId="5367F817" w14:textId="017C4E78" w:rsidR="00F157D7" w:rsidRPr="00307C43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Rekomendacja programowa</w:t>
            </w:r>
          </w:p>
        </w:tc>
        <w:tc>
          <w:tcPr>
            <w:tcW w:w="2977" w:type="dxa"/>
            <w:shd w:val="pct10" w:color="auto" w:fill="auto"/>
            <w:vAlign w:val="center"/>
          </w:tcPr>
          <w:p w14:paraId="56A57B59" w14:textId="77777777" w:rsidR="00F157D7" w:rsidRPr="00307C43" w:rsidRDefault="00F157D7" w:rsidP="00F15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7C43">
              <w:rPr>
                <w:rFonts w:ascii="Arial" w:hAnsi="Arial" w:cs="Arial"/>
                <w:b/>
                <w:sz w:val="20"/>
                <w:szCs w:val="20"/>
              </w:rPr>
              <w:t>Podklasa rekomendacji</w:t>
            </w:r>
          </w:p>
        </w:tc>
        <w:tc>
          <w:tcPr>
            <w:tcW w:w="4160" w:type="dxa"/>
            <w:gridSpan w:val="2"/>
            <w:vAlign w:val="center"/>
          </w:tcPr>
          <w:p w14:paraId="2579DBE0" w14:textId="08F1F0A8" w:rsidR="00F157D7" w:rsidRPr="00307C43" w:rsidRDefault="00F157D7" w:rsidP="00F157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7C43">
              <w:rPr>
                <w:rFonts w:ascii="Arial" w:hAnsi="Arial" w:cs="Arial"/>
                <w:sz w:val="20"/>
                <w:szCs w:val="20"/>
                <w:lang w:eastAsia="ja-JP"/>
              </w:rPr>
              <w:t>Rekomendacja operacyjna</w:t>
            </w:r>
          </w:p>
        </w:tc>
      </w:tr>
      <w:tr w:rsidR="00F157D7" w:rsidRPr="00BB3F2B" w14:paraId="441C5779" w14:textId="77777777" w:rsidTr="00F157D7">
        <w:trPr>
          <w:trHeight w:val="422"/>
        </w:trPr>
        <w:tc>
          <w:tcPr>
            <w:tcW w:w="534" w:type="dxa"/>
            <w:vMerge/>
          </w:tcPr>
          <w:p w14:paraId="26020F3C" w14:textId="77777777" w:rsidR="00F157D7" w:rsidRPr="00307C43" w:rsidRDefault="00F157D7" w:rsidP="00F157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3" w:type="dxa"/>
            <w:shd w:val="pct10" w:color="auto" w:fill="auto"/>
            <w:vAlign w:val="center"/>
          </w:tcPr>
          <w:p w14:paraId="380F2E8A" w14:textId="77777777" w:rsidR="00F157D7" w:rsidRPr="00307C43" w:rsidRDefault="00F157D7" w:rsidP="00F157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7C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Obszar tematyczny </w:t>
            </w:r>
          </w:p>
        </w:tc>
        <w:tc>
          <w:tcPr>
            <w:tcW w:w="3686" w:type="dxa"/>
            <w:gridSpan w:val="2"/>
            <w:vAlign w:val="center"/>
          </w:tcPr>
          <w:p w14:paraId="39793162" w14:textId="18DB0140" w:rsidR="00F157D7" w:rsidRPr="00307C43" w:rsidRDefault="00F157D7" w:rsidP="00F157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Innowacyjność oraz badania i rozwój</w:t>
            </w:r>
          </w:p>
        </w:tc>
        <w:tc>
          <w:tcPr>
            <w:tcW w:w="2977" w:type="dxa"/>
            <w:shd w:val="pct10" w:color="auto" w:fill="auto"/>
            <w:vAlign w:val="center"/>
          </w:tcPr>
          <w:p w14:paraId="796860DA" w14:textId="77777777" w:rsidR="00F157D7" w:rsidRPr="00307C43" w:rsidRDefault="00F157D7" w:rsidP="00F157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7C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Program operacyjny</w:t>
            </w:r>
          </w:p>
        </w:tc>
        <w:tc>
          <w:tcPr>
            <w:tcW w:w="4160" w:type="dxa"/>
            <w:gridSpan w:val="2"/>
            <w:vAlign w:val="center"/>
          </w:tcPr>
          <w:p w14:paraId="34588CBF" w14:textId="261647E1" w:rsidR="00F157D7" w:rsidRPr="00307C43" w:rsidRDefault="00F157D7" w:rsidP="00F157D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7C43">
              <w:rPr>
                <w:rFonts w:ascii="Arial" w:hAnsi="Arial" w:cs="Arial"/>
                <w:sz w:val="20"/>
                <w:szCs w:val="20"/>
                <w:lang w:eastAsia="ja-JP"/>
              </w:rPr>
              <w:t>Fundusze Europejskie dla Podkarpacia 2021-2027</w:t>
            </w:r>
          </w:p>
        </w:tc>
      </w:tr>
      <w:tr w:rsidR="00F157D7" w:rsidRPr="00BB3F2B" w14:paraId="1CD9761F" w14:textId="77777777" w:rsidTr="008D52D9">
        <w:trPr>
          <w:trHeight w:val="70"/>
        </w:trPr>
        <w:tc>
          <w:tcPr>
            <w:tcW w:w="534" w:type="dxa"/>
            <w:vMerge/>
          </w:tcPr>
          <w:p w14:paraId="0E549FDE" w14:textId="77777777" w:rsidR="00F157D7" w:rsidRPr="00307C43" w:rsidRDefault="00F157D7" w:rsidP="00F157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3" w:type="dxa"/>
            <w:shd w:val="pct10" w:color="auto" w:fill="auto"/>
          </w:tcPr>
          <w:p w14:paraId="5F85B222" w14:textId="77777777" w:rsidR="00F157D7" w:rsidRPr="00307C43" w:rsidRDefault="00F157D7" w:rsidP="00F157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7C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Bazowy status rekomendacji</w:t>
            </w:r>
          </w:p>
        </w:tc>
        <w:tc>
          <w:tcPr>
            <w:tcW w:w="10823" w:type="dxa"/>
            <w:gridSpan w:val="5"/>
            <w:vAlign w:val="center"/>
          </w:tcPr>
          <w:p w14:paraId="270F9BD1" w14:textId="1D49C2D5" w:rsidR="00F157D7" w:rsidRPr="00307C43" w:rsidRDefault="005E0154" w:rsidP="00F157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0154">
              <w:rPr>
                <w:rFonts w:ascii="Arial" w:hAnsi="Arial" w:cs="Arial"/>
                <w:color w:val="000000" w:themeColor="text1"/>
                <w:sz w:val="20"/>
                <w:szCs w:val="20"/>
              </w:rPr>
              <w:t>Rekomendacja zatwierdzona w całości (realizowana)</w:t>
            </w:r>
          </w:p>
        </w:tc>
      </w:tr>
      <w:tr w:rsidR="00F157D7" w:rsidRPr="00BB3F2B" w14:paraId="2BD84BDA" w14:textId="77777777" w:rsidTr="006434A1">
        <w:trPr>
          <w:trHeight w:val="708"/>
        </w:trPr>
        <w:tc>
          <w:tcPr>
            <w:tcW w:w="534" w:type="dxa"/>
            <w:vMerge w:val="restart"/>
          </w:tcPr>
          <w:p w14:paraId="254BC63E" w14:textId="04A7D165" w:rsidR="00F157D7" w:rsidRPr="00307C43" w:rsidRDefault="00F157D7" w:rsidP="00F1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C4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63" w:type="dxa"/>
            <w:tcBorders>
              <w:top w:val="single" w:sz="4" w:space="0" w:color="auto"/>
            </w:tcBorders>
          </w:tcPr>
          <w:p w14:paraId="670106F9" w14:textId="3A27499F" w:rsidR="00F157D7" w:rsidRPr="00307C43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  <w:r w:rsidRPr="00661FF8">
              <w:rPr>
                <w:rFonts w:ascii="Arial" w:hAnsi="Arial" w:cs="Arial"/>
                <w:sz w:val="20"/>
              </w:rPr>
              <w:t xml:space="preserve">Komponent innowacyjny Pożyczki-Standardowej Innowacyjnej nie cieszył się zainteresowaniem pożyczkobiorców. Udzielono tylko 5% takich pożyczek. Powodem był warunek udzielenia pożyczki wyłącznie na zakup nowych maszyn i urządzeń. </w:t>
            </w:r>
            <w:bookmarkStart w:id="7" w:name="_Hlk131763170"/>
            <w:r w:rsidRPr="00661FF8">
              <w:rPr>
                <w:rFonts w:ascii="Arial" w:hAnsi="Arial" w:cs="Arial"/>
                <w:sz w:val="20"/>
              </w:rPr>
              <w:t>(s. 137)</w:t>
            </w:r>
            <w:bookmarkEnd w:id="7"/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D755F1E" w14:textId="10403779" w:rsidR="00F157D7" w:rsidRPr="00307C43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  <w:r w:rsidRPr="00661FF8">
              <w:rPr>
                <w:rFonts w:ascii="Arial" w:hAnsi="Arial" w:cs="Arial"/>
                <w:sz w:val="20"/>
              </w:rPr>
              <w:t xml:space="preserve">Proponuje się rozszerzenie katalogu dopuszczalnych zakupów w ramach komponentu innowacyjnego o maszyny i urządzenia używane, ale nie starsze niż określona w metryce produktu cezura czasowa (np. wyprodukowane nie wcześniej niż 3 lata przed datą złożenia wniosku o pożyczkę).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ACEC184" w14:textId="0A9CE737" w:rsidR="00F157D7" w:rsidRPr="00307C43" w:rsidRDefault="00F157D7" w:rsidP="005E0154">
            <w:pPr>
              <w:rPr>
                <w:rFonts w:ascii="Arial" w:hAnsi="Arial" w:cs="Arial"/>
                <w:sz w:val="20"/>
                <w:szCs w:val="20"/>
              </w:rPr>
            </w:pPr>
            <w:r w:rsidRPr="00661FF8">
              <w:rPr>
                <w:rFonts w:ascii="Arial" w:hAnsi="Arial" w:cs="Arial"/>
                <w:sz w:val="20"/>
              </w:rPr>
              <w:t xml:space="preserve">IZ FEP 2021-2027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8E2A099" w14:textId="405EDCAE" w:rsidR="00F157D7" w:rsidRPr="00307C43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  <w:r w:rsidRPr="00661FF8">
              <w:rPr>
                <w:rFonts w:ascii="Arial" w:hAnsi="Arial" w:cs="Arial"/>
                <w:sz w:val="20"/>
              </w:rPr>
              <w:t>Zasadność dopuszczenia maszyn i urządzeń używanych w komponencie innowacyjnym powinna być przedmiotem badania: Ocena ex-</w:t>
            </w:r>
            <w:proofErr w:type="spellStart"/>
            <w:r w:rsidRPr="00661FF8">
              <w:rPr>
                <w:rFonts w:ascii="Arial" w:hAnsi="Arial" w:cs="Arial"/>
                <w:sz w:val="20"/>
              </w:rPr>
              <w:t>ante</w:t>
            </w:r>
            <w:proofErr w:type="spellEnd"/>
            <w:r w:rsidRPr="00661FF8">
              <w:rPr>
                <w:rFonts w:ascii="Arial" w:hAnsi="Arial" w:cs="Arial"/>
                <w:sz w:val="20"/>
              </w:rPr>
              <w:t xml:space="preserve"> instrumentów finansowych.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937D789" w14:textId="2C5ED5AD" w:rsidR="00F157D7" w:rsidRPr="00307C43" w:rsidRDefault="00B028E3" w:rsidP="00F15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31.12</w:t>
            </w:r>
            <w:r w:rsidR="00F157D7" w:rsidRPr="00661FF8">
              <w:rPr>
                <w:rFonts w:ascii="Arial" w:hAnsi="Arial" w:cs="Arial"/>
                <w:sz w:val="20"/>
              </w:rPr>
              <w:t xml:space="preserve">.2023 r. </w:t>
            </w:r>
          </w:p>
        </w:tc>
        <w:tc>
          <w:tcPr>
            <w:tcW w:w="2601" w:type="dxa"/>
            <w:tcBorders>
              <w:top w:val="single" w:sz="4" w:space="0" w:color="auto"/>
            </w:tcBorders>
          </w:tcPr>
          <w:p w14:paraId="1E548753" w14:textId="77777777" w:rsidR="00F157D7" w:rsidRPr="00307C43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D7" w:rsidRPr="00BB3F2B" w14:paraId="21142235" w14:textId="77777777" w:rsidTr="00F157D7">
        <w:trPr>
          <w:trHeight w:val="425"/>
        </w:trPr>
        <w:tc>
          <w:tcPr>
            <w:tcW w:w="534" w:type="dxa"/>
            <w:vMerge/>
          </w:tcPr>
          <w:p w14:paraId="23E2B5BA" w14:textId="77777777" w:rsidR="00F157D7" w:rsidRPr="00307C43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shd w:val="pct10" w:color="auto" w:fill="auto"/>
            <w:vAlign w:val="center"/>
          </w:tcPr>
          <w:p w14:paraId="4B6257A4" w14:textId="77777777" w:rsidR="00F157D7" w:rsidRPr="00307C43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  <w:r w:rsidRPr="00307C43">
              <w:rPr>
                <w:rFonts w:ascii="Arial" w:hAnsi="Arial" w:cs="Arial"/>
                <w:b/>
                <w:sz w:val="20"/>
                <w:szCs w:val="20"/>
              </w:rPr>
              <w:t>Klasa rekomendacji</w:t>
            </w:r>
          </w:p>
        </w:tc>
        <w:tc>
          <w:tcPr>
            <w:tcW w:w="3686" w:type="dxa"/>
            <w:gridSpan w:val="2"/>
            <w:vAlign w:val="center"/>
          </w:tcPr>
          <w:p w14:paraId="16C91BD4" w14:textId="017F556E" w:rsidR="00F157D7" w:rsidRPr="00307C43" w:rsidRDefault="00F157D7" w:rsidP="00F15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Rekomendacja programowa</w:t>
            </w:r>
          </w:p>
        </w:tc>
        <w:tc>
          <w:tcPr>
            <w:tcW w:w="2977" w:type="dxa"/>
            <w:shd w:val="pct10" w:color="auto" w:fill="auto"/>
            <w:vAlign w:val="center"/>
          </w:tcPr>
          <w:p w14:paraId="3C3D410C" w14:textId="77777777" w:rsidR="00F157D7" w:rsidRPr="00307C43" w:rsidRDefault="00F157D7" w:rsidP="00F15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7C43">
              <w:rPr>
                <w:rFonts w:ascii="Arial" w:hAnsi="Arial" w:cs="Arial"/>
                <w:b/>
                <w:sz w:val="20"/>
                <w:szCs w:val="20"/>
              </w:rPr>
              <w:t>Podklasa rekomendacji</w:t>
            </w:r>
          </w:p>
        </w:tc>
        <w:tc>
          <w:tcPr>
            <w:tcW w:w="4160" w:type="dxa"/>
            <w:gridSpan w:val="2"/>
            <w:vAlign w:val="center"/>
          </w:tcPr>
          <w:p w14:paraId="14F54992" w14:textId="77777777" w:rsidR="00F157D7" w:rsidRPr="00307C43" w:rsidRDefault="00F157D7" w:rsidP="00F157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7C43">
              <w:rPr>
                <w:rFonts w:ascii="Arial" w:hAnsi="Arial" w:cs="Arial"/>
                <w:sz w:val="20"/>
                <w:szCs w:val="20"/>
                <w:lang w:eastAsia="ja-JP"/>
              </w:rPr>
              <w:t>Rekomendacja operacyjna</w:t>
            </w:r>
          </w:p>
        </w:tc>
      </w:tr>
      <w:tr w:rsidR="00F157D7" w:rsidRPr="00BB3F2B" w14:paraId="727FD80D" w14:textId="77777777" w:rsidTr="00F157D7">
        <w:trPr>
          <w:trHeight w:val="422"/>
        </w:trPr>
        <w:tc>
          <w:tcPr>
            <w:tcW w:w="534" w:type="dxa"/>
            <w:vMerge/>
          </w:tcPr>
          <w:p w14:paraId="1C711FA0" w14:textId="77777777" w:rsidR="00F157D7" w:rsidRPr="00307C43" w:rsidRDefault="00F157D7" w:rsidP="00F157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3" w:type="dxa"/>
            <w:shd w:val="pct10" w:color="auto" w:fill="auto"/>
            <w:vAlign w:val="center"/>
          </w:tcPr>
          <w:p w14:paraId="3AD704D5" w14:textId="77777777" w:rsidR="00F157D7" w:rsidRPr="00307C43" w:rsidRDefault="00F157D7" w:rsidP="00F157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7C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Obszar tematyczny </w:t>
            </w:r>
          </w:p>
        </w:tc>
        <w:tc>
          <w:tcPr>
            <w:tcW w:w="3686" w:type="dxa"/>
            <w:gridSpan w:val="2"/>
            <w:vAlign w:val="center"/>
          </w:tcPr>
          <w:p w14:paraId="65E132B2" w14:textId="0CFD0ECB" w:rsidR="00F157D7" w:rsidRPr="00307C43" w:rsidRDefault="00F157D7" w:rsidP="00F157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Innowacyjność oraz badania i rozwój</w:t>
            </w:r>
          </w:p>
        </w:tc>
        <w:tc>
          <w:tcPr>
            <w:tcW w:w="2977" w:type="dxa"/>
            <w:shd w:val="pct10" w:color="auto" w:fill="auto"/>
            <w:vAlign w:val="center"/>
          </w:tcPr>
          <w:p w14:paraId="0B62D645" w14:textId="77777777" w:rsidR="00F157D7" w:rsidRPr="00307C43" w:rsidRDefault="00F157D7" w:rsidP="00F157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7C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Program operacyjny</w:t>
            </w:r>
          </w:p>
        </w:tc>
        <w:tc>
          <w:tcPr>
            <w:tcW w:w="4160" w:type="dxa"/>
            <w:gridSpan w:val="2"/>
            <w:vAlign w:val="center"/>
          </w:tcPr>
          <w:p w14:paraId="69C2D55A" w14:textId="77777777" w:rsidR="00F157D7" w:rsidRPr="00307C43" w:rsidRDefault="00F157D7" w:rsidP="00F157D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7C43">
              <w:rPr>
                <w:rFonts w:ascii="Arial" w:hAnsi="Arial" w:cs="Arial"/>
                <w:sz w:val="20"/>
                <w:szCs w:val="20"/>
                <w:lang w:eastAsia="ja-JP"/>
              </w:rPr>
              <w:t>Fundusze Europejskie dla Podkarpacia 2021-2027</w:t>
            </w:r>
          </w:p>
        </w:tc>
      </w:tr>
      <w:tr w:rsidR="00F157D7" w:rsidRPr="00BB3F2B" w14:paraId="47BE62B0" w14:textId="77777777" w:rsidTr="00924FB3">
        <w:trPr>
          <w:trHeight w:val="70"/>
        </w:trPr>
        <w:tc>
          <w:tcPr>
            <w:tcW w:w="534" w:type="dxa"/>
            <w:vMerge/>
          </w:tcPr>
          <w:p w14:paraId="2D905C51" w14:textId="77777777" w:rsidR="00F157D7" w:rsidRPr="00307C43" w:rsidRDefault="00F157D7" w:rsidP="00F157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3" w:type="dxa"/>
            <w:shd w:val="pct10" w:color="auto" w:fill="auto"/>
          </w:tcPr>
          <w:p w14:paraId="163250FE" w14:textId="77777777" w:rsidR="00F157D7" w:rsidRPr="00307C43" w:rsidRDefault="00F157D7" w:rsidP="00F157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7C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Bazowy status rekomendacji</w:t>
            </w:r>
          </w:p>
        </w:tc>
        <w:tc>
          <w:tcPr>
            <w:tcW w:w="10823" w:type="dxa"/>
            <w:gridSpan w:val="5"/>
            <w:vAlign w:val="center"/>
          </w:tcPr>
          <w:p w14:paraId="2359D147" w14:textId="2010D1CB" w:rsidR="00F157D7" w:rsidRPr="00307C43" w:rsidRDefault="005E0154" w:rsidP="00F157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0154">
              <w:rPr>
                <w:rFonts w:ascii="Arial" w:hAnsi="Arial" w:cs="Arial"/>
                <w:color w:val="000000" w:themeColor="text1"/>
                <w:sz w:val="20"/>
                <w:szCs w:val="20"/>
              </w:rPr>
              <w:t>Rekomendacja zatwierdzona w całości (realizowana)</w:t>
            </w:r>
          </w:p>
        </w:tc>
      </w:tr>
    </w:tbl>
    <w:p w14:paraId="335571C8" w14:textId="77777777" w:rsidR="002B14F9" w:rsidRPr="0031029C" w:rsidRDefault="002B14F9" w:rsidP="008E54B8">
      <w:pPr>
        <w:spacing w:before="120" w:after="0" w:line="312" w:lineRule="auto"/>
        <w:jc w:val="both"/>
        <w:rPr>
          <w:rFonts w:ascii="Arial" w:hAnsi="Arial"/>
          <w:b/>
          <w:color w:val="000000" w:themeColor="text1"/>
          <w:sz w:val="4"/>
        </w:rPr>
      </w:pPr>
    </w:p>
    <w:p w14:paraId="6FFAD275" w14:textId="77777777" w:rsidR="00FD3A17" w:rsidRPr="0031029C" w:rsidRDefault="00FD3A17" w:rsidP="00DB3811">
      <w:pPr>
        <w:spacing w:after="0" w:line="240" w:lineRule="auto"/>
        <w:jc w:val="both"/>
        <w:rPr>
          <w:rFonts w:ascii="Arial" w:hAnsi="Arial"/>
          <w:b/>
          <w:color w:val="000000" w:themeColor="text1"/>
          <w:sz w:val="20"/>
        </w:rPr>
      </w:pPr>
      <w:r w:rsidRPr="0031029C">
        <w:rPr>
          <w:rFonts w:ascii="Arial" w:hAnsi="Arial"/>
          <w:b/>
          <w:color w:val="000000" w:themeColor="text1"/>
          <w:sz w:val="20"/>
        </w:rPr>
        <w:t>W</w:t>
      </w:r>
      <w:r w:rsidR="00DB3811" w:rsidRPr="0031029C">
        <w:rPr>
          <w:rFonts w:ascii="Arial" w:hAnsi="Arial"/>
          <w:b/>
          <w:color w:val="000000" w:themeColor="text1"/>
          <w:sz w:val="20"/>
        </w:rPr>
        <w:t>YJAŚNIENIA</w:t>
      </w:r>
      <w:r w:rsidRPr="0031029C">
        <w:rPr>
          <w:rFonts w:ascii="Arial" w:hAnsi="Arial"/>
          <w:b/>
          <w:color w:val="000000" w:themeColor="text1"/>
          <w:sz w:val="20"/>
        </w:rPr>
        <w:t>:</w:t>
      </w:r>
    </w:p>
    <w:p w14:paraId="0468B351" w14:textId="77777777" w:rsidR="00FD3A17" w:rsidRPr="0031029C" w:rsidRDefault="002B14F9" w:rsidP="00DB3811">
      <w:pPr>
        <w:spacing w:after="0" w:line="240" w:lineRule="auto"/>
        <w:jc w:val="both"/>
        <w:rPr>
          <w:rFonts w:ascii="Arial" w:hAnsi="Arial"/>
          <w:color w:val="000000" w:themeColor="text1"/>
          <w:sz w:val="20"/>
        </w:rPr>
      </w:pPr>
      <w:r w:rsidRPr="0031029C">
        <w:rPr>
          <w:rFonts w:ascii="Arial" w:hAnsi="Arial"/>
          <w:b/>
          <w:color w:val="000000" w:themeColor="text1"/>
          <w:sz w:val="20"/>
        </w:rPr>
        <w:t>Treść wniosku</w:t>
      </w:r>
      <w:r w:rsidR="001766A3" w:rsidRPr="0031029C">
        <w:rPr>
          <w:rFonts w:ascii="Arial" w:hAnsi="Arial"/>
          <w:b/>
          <w:color w:val="000000" w:themeColor="text1"/>
          <w:sz w:val="20"/>
        </w:rPr>
        <w:t>:</w:t>
      </w:r>
      <w:r w:rsidR="00FD3A17" w:rsidRPr="0031029C">
        <w:rPr>
          <w:rFonts w:ascii="Arial" w:hAnsi="Arial"/>
          <w:color w:val="000000" w:themeColor="text1"/>
          <w:sz w:val="20"/>
        </w:rPr>
        <w:t xml:space="preserve"> </w:t>
      </w:r>
      <w:r w:rsidRPr="0031029C">
        <w:rPr>
          <w:rFonts w:ascii="Arial" w:hAnsi="Arial"/>
          <w:color w:val="000000" w:themeColor="text1"/>
          <w:sz w:val="20"/>
        </w:rPr>
        <w:t>odniesienie do konkretnej części raportu stanowiącej uzasadnienie sformułowania danej rekomendacji z podaniem numeru strony</w:t>
      </w:r>
      <w:r w:rsidR="00ED3C92" w:rsidRPr="0031029C">
        <w:rPr>
          <w:rFonts w:ascii="Arial" w:hAnsi="Arial"/>
          <w:color w:val="000000" w:themeColor="text1"/>
          <w:sz w:val="20"/>
        </w:rPr>
        <w:t>, na której omówiono wniosek.</w:t>
      </w:r>
    </w:p>
    <w:p w14:paraId="3FB3D19D" w14:textId="77777777" w:rsidR="00ED3C92" w:rsidRPr="0031029C" w:rsidRDefault="00ED3C92" w:rsidP="00DB3811">
      <w:pPr>
        <w:pStyle w:val="Default"/>
        <w:jc w:val="both"/>
        <w:rPr>
          <w:color w:val="000000" w:themeColor="text1"/>
          <w:sz w:val="20"/>
        </w:rPr>
      </w:pPr>
      <w:r w:rsidRPr="0031029C">
        <w:rPr>
          <w:b/>
          <w:color w:val="000000" w:themeColor="text1"/>
          <w:sz w:val="20"/>
        </w:rPr>
        <w:t>Treść rekomendacji</w:t>
      </w:r>
      <w:r w:rsidR="001766A3" w:rsidRPr="0031029C">
        <w:rPr>
          <w:b/>
          <w:color w:val="000000" w:themeColor="text1"/>
          <w:sz w:val="20"/>
        </w:rPr>
        <w:t xml:space="preserve">: </w:t>
      </w:r>
      <w:r w:rsidRPr="0031029C">
        <w:rPr>
          <w:color w:val="000000" w:themeColor="text1"/>
          <w:sz w:val="20"/>
        </w:rPr>
        <w:t>rekomendacja powinna być sformułowana możliwe konkretnie i szczegółowo. W jasny sposób powinna wskazywać co należy zmienić, aby osiągnąć pożądany efekt. Należy zrezygnować z rekomendacji ogólnikowych, ponieważ takie rekomendacje często nie dają się wdrożyć lub też ocena ich faktycznego stanu wdrożenia jest niemoż</w:t>
      </w:r>
      <w:r w:rsidR="0097204B" w:rsidRPr="0031029C">
        <w:rPr>
          <w:color w:val="000000" w:themeColor="text1"/>
          <w:sz w:val="20"/>
        </w:rPr>
        <w:t xml:space="preserve">liwa. </w:t>
      </w:r>
    </w:p>
    <w:p w14:paraId="707D4DCC" w14:textId="73D96051" w:rsidR="00FD3A17" w:rsidRPr="0031029C" w:rsidRDefault="00FD3A17" w:rsidP="00DB3811">
      <w:pPr>
        <w:pStyle w:val="Default"/>
        <w:jc w:val="both"/>
        <w:rPr>
          <w:color w:val="000000" w:themeColor="text1"/>
          <w:sz w:val="20"/>
        </w:rPr>
      </w:pPr>
      <w:r w:rsidRPr="0031029C">
        <w:rPr>
          <w:b/>
          <w:color w:val="000000" w:themeColor="text1"/>
          <w:sz w:val="20"/>
        </w:rPr>
        <w:t>Adresat rekomendacji</w:t>
      </w:r>
      <w:r w:rsidR="001766A3" w:rsidRPr="0031029C">
        <w:rPr>
          <w:color w:val="000000" w:themeColor="text1"/>
          <w:sz w:val="20"/>
        </w:rPr>
        <w:t xml:space="preserve">: </w:t>
      </w:r>
      <w:r w:rsidR="00ED3C92" w:rsidRPr="0031029C">
        <w:rPr>
          <w:color w:val="000000" w:themeColor="text1"/>
          <w:sz w:val="20"/>
        </w:rPr>
        <w:t xml:space="preserve">każdorazowo należy określić precyzyjnie adresata lub adresatów rekomendacji. Należy pamiętać, że ta sama instytucja może pełnić różne funkcje w ramach procesu realizacji polityki spójności. W takim wypadku należy </w:t>
      </w:r>
      <w:r w:rsidR="0024254F" w:rsidRPr="00905706">
        <w:rPr>
          <w:color w:val="000000" w:themeColor="text1"/>
          <w:sz w:val="20"/>
          <w:szCs w:val="20"/>
        </w:rPr>
        <w:t>uściślić adresata</w:t>
      </w:r>
      <w:r w:rsidR="00ED3C92" w:rsidRPr="0031029C">
        <w:rPr>
          <w:color w:val="000000" w:themeColor="text1"/>
          <w:sz w:val="20"/>
        </w:rPr>
        <w:t xml:space="preserve"> do poziomu umożliwiającego poprawną identyfikację. </w:t>
      </w:r>
    </w:p>
    <w:p w14:paraId="121E7C2E" w14:textId="77777777" w:rsidR="00ED3C92" w:rsidRPr="0031029C" w:rsidRDefault="00FD3A17" w:rsidP="00DB3811">
      <w:pPr>
        <w:pStyle w:val="Default"/>
        <w:jc w:val="both"/>
        <w:rPr>
          <w:color w:val="000000" w:themeColor="text1"/>
          <w:sz w:val="20"/>
        </w:rPr>
      </w:pPr>
      <w:r w:rsidRPr="0031029C">
        <w:rPr>
          <w:b/>
          <w:color w:val="000000" w:themeColor="text1"/>
          <w:sz w:val="20"/>
        </w:rPr>
        <w:lastRenderedPageBreak/>
        <w:t>Sposób wdrożenia</w:t>
      </w:r>
      <w:r w:rsidR="001766A3" w:rsidRPr="0031029C">
        <w:rPr>
          <w:color w:val="000000" w:themeColor="text1"/>
          <w:sz w:val="20"/>
        </w:rPr>
        <w:t xml:space="preserve">: </w:t>
      </w:r>
      <w:r w:rsidR="00ED3C92" w:rsidRPr="0031029C">
        <w:rPr>
          <w:color w:val="000000" w:themeColor="text1"/>
          <w:sz w:val="20"/>
        </w:rPr>
        <w:t>opis, w jaki sposób należy wdrożyć rekomendację. Powinien szczegółowo wskazywać jakie działania należy podjąć, w jakim horyzoncie czasowym oraz wskazywać</w:t>
      </w:r>
      <w:r w:rsidR="006B678C" w:rsidRPr="0031029C">
        <w:rPr>
          <w:color w:val="000000" w:themeColor="text1"/>
          <w:sz w:val="20"/>
        </w:rPr>
        <w:t xml:space="preserve"> ewentualne </w:t>
      </w:r>
      <w:r w:rsidR="00ED3C92" w:rsidRPr="0031029C">
        <w:rPr>
          <w:color w:val="000000" w:themeColor="text1"/>
          <w:sz w:val="20"/>
        </w:rPr>
        <w:t xml:space="preserve">koszty tej zmiany. </w:t>
      </w:r>
      <w:r w:rsidR="00265534" w:rsidRPr="00905706">
        <w:rPr>
          <w:color w:val="000000" w:themeColor="text1"/>
          <w:sz w:val="20"/>
          <w:szCs w:val="20"/>
        </w:rPr>
        <w:t xml:space="preserve">Sposób wdrożenia może ulec zmianie w trakcie realizacji procesu. </w:t>
      </w:r>
    </w:p>
    <w:p w14:paraId="368EA7EF" w14:textId="77777777" w:rsidR="006B678C" w:rsidRDefault="00E92183" w:rsidP="00DB3811">
      <w:pPr>
        <w:pStyle w:val="Default"/>
        <w:jc w:val="both"/>
        <w:rPr>
          <w:sz w:val="20"/>
          <w:szCs w:val="20"/>
        </w:rPr>
      </w:pPr>
      <w:r w:rsidRPr="00E92183">
        <w:rPr>
          <w:b/>
          <w:sz w:val="20"/>
          <w:szCs w:val="20"/>
        </w:rPr>
        <w:t>Termin wdrożenia</w:t>
      </w:r>
      <w:r w:rsidR="001766A3">
        <w:rPr>
          <w:b/>
          <w:sz w:val="20"/>
          <w:szCs w:val="20"/>
        </w:rPr>
        <w:t xml:space="preserve">: </w:t>
      </w:r>
      <w:r w:rsidRPr="00E92183">
        <w:rPr>
          <w:sz w:val="20"/>
          <w:szCs w:val="20"/>
        </w:rPr>
        <w:t xml:space="preserve">powinien mieć formę daty dziennej odpowiadającej zakończeniu danego kwartału, czyli 31 marca, 30 czerwca, 30 września lub 31 grudnia danego roku. </w:t>
      </w:r>
    </w:p>
    <w:p w14:paraId="19CD50A5" w14:textId="7550F025" w:rsidR="00931D6A" w:rsidRPr="0031029C" w:rsidRDefault="006B678C" w:rsidP="0097204B">
      <w:pPr>
        <w:pStyle w:val="Default"/>
        <w:rPr>
          <w:color w:val="000000" w:themeColor="text1"/>
          <w:sz w:val="20"/>
        </w:rPr>
      </w:pPr>
      <w:r w:rsidRPr="006B678C">
        <w:rPr>
          <w:b/>
          <w:sz w:val="20"/>
          <w:szCs w:val="20"/>
        </w:rPr>
        <w:t>Uzasadnienie odrzucenia rekomendacji</w:t>
      </w:r>
      <w:r w:rsidR="005C296C">
        <w:rPr>
          <w:b/>
          <w:sz w:val="20"/>
          <w:szCs w:val="20"/>
        </w:rPr>
        <w:t xml:space="preserve">/ </w:t>
      </w:r>
      <w:r w:rsidR="005C296C" w:rsidRPr="00905706">
        <w:rPr>
          <w:b/>
          <w:color w:val="000000" w:themeColor="text1"/>
          <w:sz w:val="20"/>
          <w:szCs w:val="20"/>
        </w:rPr>
        <w:t>wdrożenia w części</w:t>
      </w:r>
      <w:r w:rsidR="001766A3" w:rsidRPr="0031029C">
        <w:rPr>
          <w:color w:val="000000" w:themeColor="text1"/>
          <w:sz w:val="20"/>
        </w:rPr>
        <w:t xml:space="preserve">: </w:t>
      </w:r>
      <w:r w:rsidRPr="0031029C">
        <w:rPr>
          <w:color w:val="000000" w:themeColor="text1"/>
          <w:sz w:val="20"/>
        </w:rPr>
        <w:t xml:space="preserve">syntetyczne uzasadnienie </w:t>
      </w:r>
      <w:r w:rsidR="00BB34B0" w:rsidRPr="00905706">
        <w:rPr>
          <w:color w:val="000000" w:themeColor="text1"/>
          <w:sz w:val="20"/>
          <w:szCs w:val="20"/>
        </w:rPr>
        <w:t>podjętej decyzji</w:t>
      </w:r>
      <w:r w:rsidRPr="0031029C">
        <w:rPr>
          <w:color w:val="000000" w:themeColor="text1"/>
          <w:sz w:val="20"/>
        </w:rPr>
        <w:t xml:space="preserve">. </w:t>
      </w:r>
    </w:p>
    <w:p w14:paraId="749B9517" w14:textId="77777777" w:rsidR="00931D6A" w:rsidRPr="0031029C" w:rsidRDefault="00931D6A" w:rsidP="0097204B">
      <w:pPr>
        <w:pStyle w:val="Default"/>
        <w:jc w:val="both"/>
        <w:rPr>
          <w:color w:val="000000" w:themeColor="text1"/>
          <w:sz w:val="20"/>
        </w:rPr>
      </w:pPr>
      <w:r w:rsidRPr="0031029C">
        <w:rPr>
          <w:b/>
          <w:color w:val="000000" w:themeColor="text1"/>
          <w:sz w:val="20"/>
        </w:rPr>
        <w:t>Klasa rekomendacji:</w:t>
      </w:r>
      <w:r w:rsidRPr="0031029C">
        <w:rPr>
          <w:color w:val="000000" w:themeColor="text1"/>
          <w:sz w:val="20"/>
        </w:rPr>
        <w:t xml:space="preserve"> należy wybrać jedną z poniższych opcji:</w:t>
      </w:r>
    </w:p>
    <w:p w14:paraId="0FB39AAE" w14:textId="1CBC97A9" w:rsidR="00931D6A" w:rsidRPr="0031029C" w:rsidRDefault="00931D6A" w:rsidP="0097204B">
      <w:pPr>
        <w:pStyle w:val="Default"/>
        <w:numPr>
          <w:ilvl w:val="0"/>
          <w:numId w:val="3"/>
        </w:numPr>
        <w:jc w:val="both"/>
        <w:rPr>
          <w:color w:val="000000" w:themeColor="text1"/>
          <w:sz w:val="20"/>
        </w:rPr>
      </w:pPr>
      <w:r w:rsidRPr="0031029C">
        <w:rPr>
          <w:color w:val="000000" w:themeColor="text1"/>
          <w:sz w:val="20"/>
        </w:rPr>
        <w:t xml:space="preserve">Rekomendacja horyzontalna – dot. realizacji polityki spójności, wykraczająca poza </w:t>
      </w:r>
      <w:r w:rsidR="003A4BA2" w:rsidRPr="00905706">
        <w:rPr>
          <w:color w:val="000000" w:themeColor="text1"/>
          <w:sz w:val="20"/>
          <w:szCs w:val="20"/>
        </w:rPr>
        <w:t xml:space="preserve">jeden program operacyjny. </w:t>
      </w:r>
    </w:p>
    <w:p w14:paraId="7841BA55" w14:textId="12C60A4C" w:rsidR="00184AA3" w:rsidRPr="0031029C" w:rsidRDefault="00931D6A" w:rsidP="0097204B">
      <w:pPr>
        <w:pStyle w:val="Default"/>
        <w:numPr>
          <w:ilvl w:val="0"/>
          <w:numId w:val="3"/>
        </w:numPr>
        <w:jc w:val="both"/>
        <w:rPr>
          <w:color w:val="000000" w:themeColor="text1"/>
          <w:sz w:val="20"/>
        </w:rPr>
      </w:pPr>
      <w:r w:rsidRPr="0031029C">
        <w:rPr>
          <w:color w:val="000000" w:themeColor="text1"/>
          <w:sz w:val="20"/>
        </w:rPr>
        <w:t>Rekomendacja programowa – dot. tylko jednego p</w:t>
      </w:r>
      <w:r w:rsidR="00184AA3" w:rsidRPr="0031029C">
        <w:rPr>
          <w:color w:val="000000" w:themeColor="text1"/>
          <w:sz w:val="20"/>
        </w:rPr>
        <w:t>rogramu</w:t>
      </w:r>
      <w:r w:rsidR="00184AA3" w:rsidRPr="00905706">
        <w:rPr>
          <w:color w:val="000000" w:themeColor="text1"/>
          <w:sz w:val="20"/>
          <w:szCs w:val="20"/>
        </w:rPr>
        <w:t xml:space="preserve"> operacyjnego. </w:t>
      </w:r>
      <w:r w:rsidRPr="0031029C">
        <w:rPr>
          <w:color w:val="000000" w:themeColor="text1"/>
          <w:sz w:val="20"/>
        </w:rPr>
        <w:t xml:space="preserve"> </w:t>
      </w:r>
    </w:p>
    <w:p w14:paraId="0C9646C5" w14:textId="77777777" w:rsidR="001D475C" w:rsidRPr="00184AA3" w:rsidRDefault="00931D6A" w:rsidP="0097204B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184AA3">
        <w:rPr>
          <w:sz w:val="20"/>
          <w:szCs w:val="20"/>
        </w:rPr>
        <w:t xml:space="preserve">Rekomendacja </w:t>
      </w:r>
      <w:proofErr w:type="spellStart"/>
      <w:r w:rsidRPr="00184AA3">
        <w:rPr>
          <w:sz w:val="20"/>
          <w:szCs w:val="20"/>
        </w:rPr>
        <w:t>pozasystemowa</w:t>
      </w:r>
      <w:proofErr w:type="spellEnd"/>
      <w:r w:rsidRPr="00184AA3">
        <w:rPr>
          <w:sz w:val="20"/>
          <w:szCs w:val="20"/>
        </w:rPr>
        <w:t xml:space="preserve"> (zewnętrzna) – dot. instytucji lub obszarów zlokalizowanych poza systemem realizacji polityki spójności. Tego typu rekomendacje nie powinny być głównym produktem badania, niemniej jeśli w sposób istotny wpływają na realizację polityki spójności mogą być formułowane i przyjmowane do wdrażania. Rekomendacje tego typu zostaną udostępnione adresatom przez KJE.</w:t>
      </w:r>
    </w:p>
    <w:p w14:paraId="7C2598A7" w14:textId="77777777" w:rsidR="001D475C" w:rsidRDefault="001D475C" w:rsidP="0097204B">
      <w:pPr>
        <w:pStyle w:val="Default"/>
        <w:jc w:val="both"/>
        <w:rPr>
          <w:sz w:val="20"/>
          <w:szCs w:val="20"/>
        </w:rPr>
      </w:pPr>
      <w:r w:rsidRPr="001D475C">
        <w:rPr>
          <w:b/>
          <w:sz w:val="20"/>
          <w:szCs w:val="20"/>
        </w:rPr>
        <w:t>Podklasa rekomendacji</w:t>
      </w:r>
      <w:r>
        <w:rPr>
          <w:sz w:val="20"/>
          <w:szCs w:val="20"/>
        </w:rPr>
        <w:t>:  w ramach klas rekomendacji horyzontalnej i programowej należy wybrać jedną z poniższych opcji:</w:t>
      </w:r>
    </w:p>
    <w:p w14:paraId="495E3B80" w14:textId="77777777" w:rsidR="001D475C" w:rsidRPr="001D475C" w:rsidRDefault="001D475C" w:rsidP="0097204B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1D475C">
        <w:rPr>
          <w:sz w:val="20"/>
          <w:szCs w:val="20"/>
        </w:rPr>
        <w:t>R</w:t>
      </w:r>
      <w:r>
        <w:rPr>
          <w:sz w:val="20"/>
          <w:szCs w:val="20"/>
        </w:rPr>
        <w:t>ekomendacja operacyjna – dot.</w:t>
      </w:r>
      <w:r w:rsidRPr="001D475C">
        <w:rPr>
          <w:sz w:val="20"/>
          <w:szCs w:val="20"/>
        </w:rPr>
        <w:t xml:space="preserve"> kwestii wdrożeniowych programu/ów oraz usprawnień w tym zakresie.</w:t>
      </w:r>
    </w:p>
    <w:p w14:paraId="3F1D6881" w14:textId="77777777" w:rsidR="0097204B" w:rsidRPr="0097204B" w:rsidRDefault="001D475C" w:rsidP="0097204B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1D475C">
        <w:rPr>
          <w:sz w:val="20"/>
          <w:szCs w:val="20"/>
        </w:rPr>
        <w:t>Rek</w:t>
      </w:r>
      <w:r>
        <w:rPr>
          <w:sz w:val="20"/>
          <w:szCs w:val="20"/>
        </w:rPr>
        <w:t>omendacja strategiczna – dot.</w:t>
      </w:r>
      <w:r w:rsidRPr="001D475C">
        <w:rPr>
          <w:sz w:val="20"/>
          <w:szCs w:val="20"/>
        </w:rPr>
        <w:t xml:space="preserve"> strategicznych kwestii w obszarze realizacji programu lub całej polityki spójności.</w:t>
      </w:r>
    </w:p>
    <w:p w14:paraId="663EEFE2" w14:textId="66C9243A" w:rsidR="0097204B" w:rsidRPr="0097204B" w:rsidRDefault="0097204B" w:rsidP="0097204B">
      <w:pPr>
        <w:pStyle w:val="Default"/>
        <w:jc w:val="both"/>
        <w:rPr>
          <w:sz w:val="20"/>
          <w:szCs w:val="20"/>
        </w:rPr>
      </w:pPr>
      <w:r w:rsidRPr="0097204B">
        <w:rPr>
          <w:b/>
          <w:sz w:val="20"/>
          <w:szCs w:val="20"/>
        </w:rPr>
        <w:t xml:space="preserve">Obszar tematyczny: </w:t>
      </w:r>
      <w:r w:rsidRPr="0097204B">
        <w:rPr>
          <w:sz w:val="20"/>
          <w:szCs w:val="20"/>
        </w:rPr>
        <w:t>przyporządkowany w</w:t>
      </w:r>
      <w:r>
        <w:rPr>
          <w:sz w:val="20"/>
          <w:szCs w:val="20"/>
        </w:rPr>
        <w:t>g następującej</w:t>
      </w:r>
      <w:r w:rsidRPr="0097204B">
        <w:rPr>
          <w:sz w:val="20"/>
          <w:szCs w:val="20"/>
        </w:rPr>
        <w:t xml:space="preserve"> kategoryzacji</w:t>
      </w:r>
      <w:r>
        <w:rPr>
          <w:sz w:val="20"/>
          <w:szCs w:val="20"/>
        </w:rPr>
        <w:t xml:space="preserve">:, </w:t>
      </w:r>
      <w:r w:rsidR="00D055D5">
        <w:rPr>
          <w:sz w:val="20"/>
          <w:szCs w:val="20"/>
        </w:rPr>
        <w:t>p</w:t>
      </w:r>
      <w:r w:rsidRPr="0097204B">
        <w:rPr>
          <w:sz w:val="20"/>
          <w:szCs w:val="20"/>
        </w:rPr>
        <w:t>olityki horyzontalne</w:t>
      </w:r>
      <w:r>
        <w:rPr>
          <w:sz w:val="20"/>
          <w:szCs w:val="20"/>
        </w:rPr>
        <w:t xml:space="preserve">, </w:t>
      </w:r>
      <w:r w:rsidR="00D055D5">
        <w:rPr>
          <w:sz w:val="20"/>
          <w:szCs w:val="20"/>
        </w:rPr>
        <w:t>s</w:t>
      </w:r>
      <w:r w:rsidRPr="0097204B">
        <w:rPr>
          <w:sz w:val="20"/>
          <w:szCs w:val="20"/>
        </w:rPr>
        <w:t>ystem</w:t>
      </w:r>
      <w:r>
        <w:rPr>
          <w:sz w:val="20"/>
          <w:szCs w:val="20"/>
        </w:rPr>
        <w:t xml:space="preserve"> realizacji polityki spójności, </w:t>
      </w:r>
      <w:r w:rsidR="00D055D5">
        <w:rPr>
          <w:sz w:val="20"/>
          <w:szCs w:val="20"/>
        </w:rPr>
        <w:t>i</w:t>
      </w:r>
      <w:r>
        <w:rPr>
          <w:sz w:val="20"/>
          <w:szCs w:val="20"/>
        </w:rPr>
        <w:t xml:space="preserve">nformacja i promocja, </w:t>
      </w:r>
      <w:r w:rsidR="00D055D5">
        <w:rPr>
          <w:sz w:val="20"/>
          <w:szCs w:val="20"/>
        </w:rPr>
        <w:t>r</w:t>
      </w:r>
      <w:r>
        <w:rPr>
          <w:sz w:val="20"/>
          <w:szCs w:val="20"/>
        </w:rPr>
        <w:t xml:space="preserve">ozwój regionalny i lokalny, </w:t>
      </w:r>
      <w:r w:rsidR="00D055D5">
        <w:rPr>
          <w:sz w:val="20"/>
          <w:szCs w:val="20"/>
        </w:rPr>
        <w:t>i</w:t>
      </w:r>
      <w:r w:rsidRPr="0097204B">
        <w:rPr>
          <w:sz w:val="20"/>
          <w:szCs w:val="20"/>
        </w:rPr>
        <w:t>nnow</w:t>
      </w:r>
      <w:r>
        <w:rPr>
          <w:sz w:val="20"/>
          <w:szCs w:val="20"/>
        </w:rPr>
        <w:t xml:space="preserve">acyjność oraz badania i rozwój, </w:t>
      </w:r>
      <w:r w:rsidR="00D055D5">
        <w:rPr>
          <w:sz w:val="20"/>
          <w:szCs w:val="20"/>
        </w:rPr>
        <w:t>s</w:t>
      </w:r>
      <w:r>
        <w:rPr>
          <w:sz w:val="20"/>
          <w:szCs w:val="20"/>
        </w:rPr>
        <w:t xml:space="preserve">połeczeństwo informacyjne, </w:t>
      </w:r>
      <w:r w:rsidR="00D055D5">
        <w:rPr>
          <w:sz w:val="20"/>
          <w:szCs w:val="20"/>
        </w:rPr>
        <w:t>p</w:t>
      </w:r>
      <w:r>
        <w:rPr>
          <w:sz w:val="20"/>
          <w:szCs w:val="20"/>
        </w:rPr>
        <w:t xml:space="preserve">rzedsiębiorczość, </w:t>
      </w:r>
      <w:r w:rsidR="00D055D5">
        <w:rPr>
          <w:sz w:val="20"/>
          <w:szCs w:val="20"/>
        </w:rPr>
        <w:t>e</w:t>
      </w:r>
      <w:r>
        <w:rPr>
          <w:sz w:val="20"/>
          <w:szCs w:val="20"/>
        </w:rPr>
        <w:t xml:space="preserve">nergetyka, </w:t>
      </w:r>
      <w:r w:rsidR="00D055D5">
        <w:rPr>
          <w:sz w:val="20"/>
          <w:szCs w:val="20"/>
        </w:rPr>
        <w:t>ś</w:t>
      </w:r>
      <w:r>
        <w:rPr>
          <w:sz w:val="20"/>
          <w:szCs w:val="20"/>
        </w:rPr>
        <w:t xml:space="preserve">rodowisko, </w:t>
      </w:r>
      <w:r w:rsidR="00D055D5">
        <w:rPr>
          <w:sz w:val="20"/>
          <w:szCs w:val="20"/>
        </w:rPr>
        <w:t>t</w:t>
      </w:r>
      <w:r>
        <w:rPr>
          <w:sz w:val="20"/>
          <w:szCs w:val="20"/>
        </w:rPr>
        <w:t xml:space="preserve">ransport, </w:t>
      </w:r>
      <w:r w:rsidR="00D055D5">
        <w:rPr>
          <w:sz w:val="20"/>
          <w:szCs w:val="20"/>
        </w:rPr>
        <w:t>e</w:t>
      </w:r>
      <w:r>
        <w:rPr>
          <w:sz w:val="20"/>
          <w:szCs w:val="20"/>
        </w:rPr>
        <w:t xml:space="preserve">dukacja, </w:t>
      </w:r>
      <w:r w:rsidR="00D055D5">
        <w:rPr>
          <w:sz w:val="20"/>
          <w:szCs w:val="20"/>
        </w:rPr>
        <w:t>k</w:t>
      </w:r>
      <w:r>
        <w:rPr>
          <w:sz w:val="20"/>
          <w:szCs w:val="20"/>
        </w:rPr>
        <w:t xml:space="preserve">ultura, </w:t>
      </w:r>
      <w:r w:rsidR="00D055D5">
        <w:rPr>
          <w:sz w:val="20"/>
          <w:szCs w:val="20"/>
        </w:rPr>
        <w:t>t</w:t>
      </w:r>
      <w:r>
        <w:rPr>
          <w:sz w:val="20"/>
          <w:szCs w:val="20"/>
        </w:rPr>
        <w:t xml:space="preserve">urystyka i rekreacja, </w:t>
      </w:r>
      <w:r w:rsidR="00D055D5">
        <w:rPr>
          <w:sz w:val="20"/>
          <w:szCs w:val="20"/>
        </w:rPr>
        <w:t>z</w:t>
      </w:r>
      <w:r>
        <w:rPr>
          <w:sz w:val="20"/>
          <w:szCs w:val="20"/>
        </w:rPr>
        <w:t xml:space="preserve">drowie, </w:t>
      </w:r>
      <w:r w:rsidR="00D055D5">
        <w:rPr>
          <w:sz w:val="20"/>
          <w:szCs w:val="20"/>
        </w:rPr>
        <w:t>r</w:t>
      </w:r>
      <w:r>
        <w:rPr>
          <w:sz w:val="20"/>
          <w:szCs w:val="20"/>
        </w:rPr>
        <w:t xml:space="preserve">ynek pracy, </w:t>
      </w:r>
      <w:r w:rsidR="00D055D5">
        <w:rPr>
          <w:sz w:val="20"/>
          <w:szCs w:val="20"/>
        </w:rPr>
        <w:t>w</w:t>
      </w:r>
      <w:r>
        <w:rPr>
          <w:sz w:val="20"/>
          <w:szCs w:val="20"/>
        </w:rPr>
        <w:t xml:space="preserve">łączenie społeczne, </w:t>
      </w:r>
      <w:r w:rsidR="00D055D5">
        <w:rPr>
          <w:sz w:val="20"/>
          <w:szCs w:val="20"/>
        </w:rPr>
        <w:t>s</w:t>
      </w:r>
      <w:r w:rsidRPr="0097204B">
        <w:rPr>
          <w:sz w:val="20"/>
          <w:szCs w:val="20"/>
        </w:rPr>
        <w:t xml:space="preserve">prawność administracji. </w:t>
      </w:r>
    </w:p>
    <w:p w14:paraId="178594D5" w14:textId="77777777" w:rsidR="0097204B" w:rsidRPr="00CD7C4B" w:rsidRDefault="0097204B" w:rsidP="0097204B">
      <w:pPr>
        <w:pStyle w:val="Default"/>
        <w:rPr>
          <w:sz w:val="20"/>
          <w:szCs w:val="20"/>
        </w:rPr>
      </w:pPr>
      <w:r w:rsidRPr="0097204B">
        <w:rPr>
          <w:b/>
          <w:sz w:val="20"/>
          <w:szCs w:val="20"/>
        </w:rPr>
        <w:t>Program operacyjny:</w:t>
      </w:r>
      <w:r w:rsidRPr="0097204B">
        <w:rPr>
          <w:sz w:val="20"/>
          <w:szCs w:val="20"/>
        </w:rPr>
        <w:t xml:space="preserve"> rekomendacja musi mieć przyporządkowany PO, którego dotyczy. Jeśli dotyczy więcej niż jednego programu, należy wpisać kategorię </w:t>
      </w:r>
      <w:r w:rsidRPr="00CD7C4B">
        <w:rPr>
          <w:sz w:val="20"/>
          <w:szCs w:val="20"/>
        </w:rPr>
        <w:t xml:space="preserve">„więcej niż jeden program”, lub „nie dotyczy” w przypadku rekomendacji </w:t>
      </w:r>
      <w:proofErr w:type="spellStart"/>
      <w:r w:rsidRPr="00CD7C4B">
        <w:rPr>
          <w:sz w:val="20"/>
          <w:szCs w:val="20"/>
        </w:rPr>
        <w:t>pozasystemowych</w:t>
      </w:r>
      <w:proofErr w:type="spellEnd"/>
      <w:r w:rsidRPr="00CD7C4B">
        <w:rPr>
          <w:sz w:val="20"/>
          <w:szCs w:val="20"/>
        </w:rPr>
        <w:t xml:space="preserve">. </w:t>
      </w:r>
    </w:p>
    <w:p w14:paraId="7AAB8026" w14:textId="77777777" w:rsidR="0097204B" w:rsidRPr="00CD7C4B" w:rsidRDefault="0097204B" w:rsidP="0097204B">
      <w:pPr>
        <w:pStyle w:val="Default"/>
        <w:rPr>
          <w:sz w:val="20"/>
          <w:szCs w:val="20"/>
        </w:rPr>
      </w:pPr>
      <w:r w:rsidRPr="0031029C">
        <w:rPr>
          <w:b/>
          <w:sz w:val="20"/>
        </w:rPr>
        <w:t>Instytucja zlecająca badanie</w:t>
      </w:r>
      <w:r w:rsidRPr="00CD7C4B">
        <w:rPr>
          <w:sz w:val="20"/>
          <w:szCs w:val="20"/>
        </w:rPr>
        <w:t xml:space="preserve"> – należy stosować jednolite nazewnictwo według terminologii instytucjonalnej. </w:t>
      </w:r>
    </w:p>
    <w:p w14:paraId="20602AAB" w14:textId="77777777" w:rsidR="00DA21E4" w:rsidRDefault="001766A3" w:rsidP="00954690">
      <w:pPr>
        <w:pStyle w:val="Default"/>
        <w:rPr>
          <w:b/>
          <w:sz w:val="20"/>
          <w:szCs w:val="20"/>
        </w:rPr>
      </w:pPr>
      <w:r w:rsidRPr="001766A3">
        <w:rPr>
          <w:b/>
          <w:sz w:val="20"/>
          <w:szCs w:val="20"/>
        </w:rPr>
        <w:t xml:space="preserve">Status rekomendacji: </w:t>
      </w:r>
    </w:p>
    <w:p w14:paraId="24519526" w14:textId="6CA467B3" w:rsidR="00DA21E4" w:rsidRPr="00CD7C4B" w:rsidRDefault="00DA21E4" w:rsidP="00954690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>s</w:t>
      </w:r>
      <w:r w:rsidRPr="00CD7C4B">
        <w:rPr>
          <w:b/>
          <w:sz w:val="20"/>
          <w:szCs w:val="20"/>
        </w:rPr>
        <w:t>tatus bazowy</w:t>
      </w:r>
      <w:r>
        <w:rPr>
          <w:sz w:val="20"/>
          <w:szCs w:val="20"/>
        </w:rPr>
        <w:t xml:space="preserve">: </w:t>
      </w:r>
      <w:r w:rsidRPr="00CD7C4B">
        <w:rPr>
          <w:sz w:val="20"/>
          <w:szCs w:val="20"/>
        </w:rPr>
        <w:t>nadawany w mom</w:t>
      </w:r>
      <w:r>
        <w:rPr>
          <w:sz w:val="20"/>
          <w:szCs w:val="20"/>
        </w:rPr>
        <w:t xml:space="preserve">encie zatwierdzania </w:t>
      </w:r>
      <w:r w:rsidRPr="00CD7C4B">
        <w:rPr>
          <w:sz w:val="20"/>
          <w:szCs w:val="20"/>
        </w:rPr>
        <w:t>kształtu tabeli rekomendacji; nie podlega zmi</w:t>
      </w:r>
      <w:r>
        <w:rPr>
          <w:sz w:val="20"/>
          <w:szCs w:val="20"/>
        </w:rPr>
        <w:t>anie;</w:t>
      </w:r>
      <w:r w:rsidRPr="00CD7C4B">
        <w:rPr>
          <w:sz w:val="20"/>
          <w:szCs w:val="20"/>
        </w:rPr>
        <w:t xml:space="preserve"> </w:t>
      </w:r>
    </w:p>
    <w:p w14:paraId="68D3A107" w14:textId="77777777" w:rsidR="001766A3" w:rsidRPr="001766A3" w:rsidRDefault="001766A3" w:rsidP="00954690">
      <w:pPr>
        <w:pStyle w:val="Default"/>
        <w:rPr>
          <w:b/>
          <w:sz w:val="20"/>
          <w:szCs w:val="20"/>
        </w:rPr>
      </w:pPr>
      <w:r w:rsidRPr="001766A3">
        <w:rPr>
          <w:sz w:val="20"/>
          <w:szCs w:val="20"/>
        </w:rPr>
        <w:t>należy wybrać jedną z poniższych opcji:</w:t>
      </w:r>
    </w:p>
    <w:p w14:paraId="19D57BA9" w14:textId="77777777" w:rsidR="001766A3" w:rsidRPr="001766A3" w:rsidRDefault="001766A3" w:rsidP="00954690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 w:rsidRPr="001766A3">
        <w:rPr>
          <w:sz w:val="20"/>
          <w:szCs w:val="20"/>
        </w:rPr>
        <w:t>Rekomendacja zatwierdzona w całości - rekomendacja, która została zaakceptowana do wdrożenia w całości i działania wdrożeniowe jeszcze się nie rozpoczęły,</w:t>
      </w:r>
    </w:p>
    <w:p w14:paraId="2DF5CE60" w14:textId="7A2B2A85" w:rsidR="001766A3" w:rsidRPr="001766A3" w:rsidRDefault="001766A3" w:rsidP="00954690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 w:rsidRPr="001766A3">
        <w:rPr>
          <w:sz w:val="20"/>
          <w:szCs w:val="20"/>
        </w:rPr>
        <w:t>Rekomendacja zatwierdzona częściowo - rekomendacja, która została zaakce</w:t>
      </w:r>
      <w:r w:rsidR="009B1AC3">
        <w:rPr>
          <w:sz w:val="20"/>
          <w:szCs w:val="20"/>
        </w:rPr>
        <w:t>ptowana do wdrożenia w części i</w:t>
      </w:r>
      <w:r w:rsidRPr="001766A3">
        <w:rPr>
          <w:sz w:val="20"/>
          <w:szCs w:val="20"/>
        </w:rPr>
        <w:t xml:space="preserve"> działania wdrożeniowe jeszcze się nie rozpoczęły,</w:t>
      </w:r>
    </w:p>
    <w:p w14:paraId="49FAF365" w14:textId="77777777" w:rsidR="001766A3" w:rsidRPr="001766A3" w:rsidRDefault="001766A3" w:rsidP="00954690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 w:rsidRPr="001766A3">
        <w:rPr>
          <w:sz w:val="20"/>
          <w:szCs w:val="20"/>
        </w:rPr>
        <w:t xml:space="preserve">Rekomendacja zatwierdzona w całości </w:t>
      </w:r>
      <w:r w:rsidR="00BF3191">
        <w:rPr>
          <w:sz w:val="20"/>
          <w:szCs w:val="20"/>
        </w:rPr>
        <w:t>(</w:t>
      </w:r>
      <w:r w:rsidRPr="001766A3">
        <w:rPr>
          <w:sz w:val="20"/>
          <w:szCs w:val="20"/>
        </w:rPr>
        <w:t>realizowana</w:t>
      </w:r>
      <w:r w:rsidR="00BF3191">
        <w:rPr>
          <w:sz w:val="20"/>
          <w:szCs w:val="20"/>
        </w:rPr>
        <w:t>)</w:t>
      </w:r>
      <w:r w:rsidRPr="001766A3">
        <w:rPr>
          <w:sz w:val="20"/>
          <w:szCs w:val="20"/>
        </w:rPr>
        <w:t xml:space="preserve"> – rekomendacja, która została zaakceptowana do wdrożenia w całości i działania wdrożeniowe jeszcze trwają,</w:t>
      </w:r>
    </w:p>
    <w:p w14:paraId="3B583E36" w14:textId="79682F06" w:rsidR="001766A3" w:rsidRPr="001766A3" w:rsidRDefault="001766A3" w:rsidP="00954690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 w:rsidRPr="001766A3">
        <w:rPr>
          <w:sz w:val="20"/>
          <w:szCs w:val="20"/>
        </w:rPr>
        <w:t xml:space="preserve">Rekomendacja zatwierdzoną częściowo </w:t>
      </w:r>
      <w:r w:rsidR="00BF3191">
        <w:rPr>
          <w:sz w:val="20"/>
          <w:szCs w:val="20"/>
        </w:rPr>
        <w:t>(</w:t>
      </w:r>
      <w:r w:rsidRPr="001766A3">
        <w:rPr>
          <w:sz w:val="20"/>
          <w:szCs w:val="20"/>
        </w:rPr>
        <w:t>realizowana</w:t>
      </w:r>
      <w:r w:rsidR="00BF3191">
        <w:rPr>
          <w:sz w:val="20"/>
          <w:szCs w:val="20"/>
        </w:rPr>
        <w:t>)</w:t>
      </w:r>
      <w:r w:rsidRPr="001766A3">
        <w:rPr>
          <w:sz w:val="20"/>
          <w:szCs w:val="20"/>
        </w:rPr>
        <w:t>- rekomendacja, która została zaakcept</w:t>
      </w:r>
      <w:r w:rsidR="00BF3191">
        <w:rPr>
          <w:sz w:val="20"/>
          <w:szCs w:val="20"/>
        </w:rPr>
        <w:t>owana do wdrożenia w części i</w:t>
      </w:r>
      <w:r w:rsidRPr="001766A3">
        <w:rPr>
          <w:sz w:val="20"/>
          <w:szCs w:val="20"/>
        </w:rPr>
        <w:t xml:space="preserve"> działania wdrożeniowe jeszcze trwają, </w:t>
      </w:r>
    </w:p>
    <w:p w14:paraId="43577343" w14:textId="2CE1054C" w:rsidR="001766A3" w:rsidRPr="001766A3" w:rsidRDefault="001766A3" w:rsidP="00954690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 w:rsidRPr="001766A3">
        <w:rPr>
          <w:sz w:val="20"/>
          <w:szCs w:val="20"/>
        </w:rPr>
        <w:t xml:space="preserve">Rekomendacja zatwierdzona w całości </w:t>
      </w:r>
      <w:r w:rsidR="00BF3191">
        <w:rPr>
          <w:sz w:val="20"/>
          <w:szCs w:val="20"/>
        </w:rPr>
        <w:t>(</w:t>
      </w:r>
      <w:r w:rsidRPr="001766A3">
        <w:rPr>
          <w:sz w:val="20"/>
          <w:szCs w:val="20"/>
        </w:rPr>
        <w:t>wdrożona</w:t>
      </w:r>
      <w:r w:rsidR="00BF3191">
        <w:rPr>
          <w:sz w:val="20"/>
          <w:szCs w:val="20"/>
        </w:rPr>
        <w:t>)</w:t>
      </w:r>
      <w:r w:rsidRPr="001766A3">
        <w:rPr>
          <w:sz w:val="20"/>
          <w:szCs w:val="20"/>
        </w:rPr>
        <w:t xml:space="preserve">– rekomendacja, która została zaakceptowana do wdrożenia w całości i działania wdrożeniowe już zakończono, </w:t>
      </w:r>
    </w:p>
    <w:p w14:paraId="0CED9C6C" w14:textId="77777777" w:rsidR="001766A3" w:rsidRPr="001766A3" w:rsidRDefault="001766A3" w:rsidP="00954690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 w:rsidRPr="001766A3">
        <w:rPr>
          <w:sz w:val="20"/>
          <w:szCs w:val="20"/>
        </w:rPr>
        <w:t xml:space="preserve">Rekomendacja zatwierdzona częściowo </w:t>
      </w:r>
      <w:r w:rsidR="00BF3191">
        <w:rPr>
          <w:sz w:val="20"/>
          <w:szCs w:val="20"/>
        </w:rPr>
        <w:t>(</w:t>
      </w:r>
      <w:r w:rsidRPr="001766A3">
        <w:rPr>
          <w:sz w:val="20"/>
          <w:szCs w:val="20"/>
        </w:rPr>
        <w:t>wdrożona</w:t>
      </w:r>
      <w:r w:rsidR="00BF3191">
        <w:rPr>
          <w:sz w:val="20"/>
          <w:szCs w:val="20"/>
        </w:rPr>
        <w:t>)</w:t>
      </w:r>
      <w:r w:rsidRPr="001766A3">
        <w:rPr>
          <w:sz w:val="20"/>
          <w:szCs w:val="20"/>
        </w:rPr>
        <w:t xml:space="preserve"> – rekomendacja, która została zaakceptowana do wdrożenia tylko w części i działania wdrożeniowe już zakończono, </w:t>
      </w:r>
    </w:p>
    <w:p w14:paraId="37063883" w14:textId="308657EA" w:rsidR="00853BB0" w:rsidRPr="0031029C" w:rsidRDefault="001766A3" w:rsidP="001522A0">
      <w:pPr>
        <w:pStyle w:val="Default"/>
        <w:numPr>
          <w:ilvl w:val="0"/>
          <w:numId w:val="6"/>
        </w:numPr>
        <w:tabs>
          <w:tab w:val="left" w:pos="9660"/>
        </w:tabs>
        <w:jc w:val="both"/>
      </w:pPr>
      <w:r w:rsidRPr="003516DC">
        <w:rPr>
          <w:sz w:val="20"/>
          <w:szCs w:val="20"/>
        </w:rPr>
        <w:t>Rekomendacja odrzucona – rekomendacja, która została cał</w:t>
      </w:r>
      <w:r w:rsidR="00954690" w:rsidRPr="003516DC">
        <w:rPr>
          <w:sz w:val="20"/>
          <w:szCs w:val="20"/>
        </w:rPr>
        <w:t>kowicie odrzucona.</w:t>
      </w:r>
      <w:r w:rsidR="0031029C">
        <w:tab/>
      </w:r>
    </w:p>
    <w:sectPr w:rsidR="00853BB0" w:rsidRPr="0031029C" w:rsidSect="0031029C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13EDD" w14:textId="77777777" w:rsidR="00957028" w:rsidRDefault="00957028" w:rsidP="00C90884">
      <w:pPr>
        <w:spacing w:after="0" w:line="240" w:lineRule="auto"/>
      </w:pPr>
      <w:r>
        <w:separator/>
      </w:r>
    </w:p>
  </w:endnote>
  <w:endnote w:type="continuationSeparator" w:id="0">
    <w:p w14:paraId="771B53E7" w14:textId="77777777" w:rsidR="00957028" w:rsidRDefault="00957028" w:rsidP="00C90884">
      <w:pPr>
        <w:spacing w:after="0" w:line="240" w:lineRule="auto"/>
      </w:pPr>
      <w:r>
        <w:continuationSeparator/>
      </w:r>
    </w:p>
  </w:endnote>
  <w:endnote w:type="continuationNotice" w:id="1">
    <w:p w14:paraId="2AACA6AA" w14:textId="77777777" w:rsidR="00957028" w:rsidRDefault="009570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6409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5AD4B83C" w14:textId="0A96250D" w:rsidR="00B90DD7" w:rsidRPr="00B90DD7" w:rsidRDefault="00B90DD7">
        <w:pPr>
          <w:pStyle w:val="Stopka"/>
          <w:jc w:val="right"/>
          <w:rPr>
            <w:rFonts w:ascii="Arial" w:hAnsi="Arial" w:cs="Arial"/>
            <w:sz w:val="20"/>
          </w:rPr>
        </w:pPr>
        <w:r w:rsidRPr="00B90DD7">
          <w:rPr>
            <w:rFonts w:ascii="Arial" w:hAnsi="Arial" w:cs="Arial"/>
            <w:sz w:val="20"/>
          </w:rPr>
          <w:fldChar w:fldCharType="begin"/>
        </w:r>
        <w:r w:rsidRPr="00B90DD7">
          <w:rPr>
            <w:rFonts w:ascii="Arial" w:hAnsi="Arial" w:cs="Arial"/>
            <w:sz w:val="20"/>
          </w:rPr>
          <w:instrText>PAGE   \* MERGEFORMAT</w:instrText>
        </w:r>
        <w:r w:rsidRPr="00B90DD7">
          <w:rPr>
            <w:rFonts w:ascii="Arial" w:hAnsi="Arial" w:cs="Arial"/>
            <w:sz w:val="20"/>
          </w:rPr>
          <w:fldChar w:fldCharType="separate"/>
        </w:r>
        <w:r w:rsidR="00F93BBB">
          <w:rPr>
            <w:rFonts w:ascii="Arial" w:hAnsi="Arial" w:cs="Arial"/>
            <w:noProof/>
            <w:sz w:val="20"/>
          </w:rPr>
          <w:t>2</w:t>
        </w:r>
        <w:r w:rsidRPr="00B90DD7">
          <w:rPr>
            <w:rFonts w:ascii="Arial" w:hAnsi="Arial" w:cs="Arial"/>
            <w:sz w:val="20"/>
          </w:rPr>
          <w:fldChar w:fldCharType="end"/>
        </w:r>
      </w:p>
    </w:sdtContent>
  </w:sdt>
  <w:p w14:paraId="07E4E79F" w14:textId="77777777" w:rsidR="00B90DD7" w:rsidRDefault="00B90D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39564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4349755E" w14:textId="7063215E" w:rsidR="00B90DD7" w:rsidRPr="00B90DD7" w:rsidRDefault="00B90DD7">
        <w:pPr>
          <w:pStyle w:val="Stopka"/>
          <w:jc w:val="right"/>
          <w:rPr>
            <w:rFonts w:ascii="Arial" w:hAnsi="Arial" w:cs="Arial"/>
            <w:sz w:val="20"/>
          </w:rPr>
        </w:pPr>
        <w:r w:rsidRPr="00B90DD7">
          <w:rPr>
            <w:rFonts w:ascii="Arial" w:hAnsi="Arial" w:cs="Arial"/>
            <w:sz w:val="20"/>
          </w:rPr>
          <w:fldChar w:fldCharType="begin"/>
        </w:r>
        <w:r w:rsidRPr="00B90DD7">
          <w:rPr>
            <w:rFonts w:ascii="Arial" w:hAnsi="Arial" w:cs="Arial"/>
            <w:sz w:val="20"/>
          </w:rPr>
          <w:instrText>PAGE   \* MERGEFORMAT</w:instrText>
        </w:r>
        <w:r w:rsidRPr="00B90DD7">
          <w:rPr>
            <w:rFonts w:ascii="Arial" w:hAnsi="Arial" w:cs="Arial"/>
            <w:sz w:val="20"/>
          </w:rPr>
          <w:fldChar w:fldCharType="separate"/>
        </w:r>
        <w:r w:rsidR="00F93BBB">
          <w:rPr>
            <w:rFonts w:ascii="Arial" w:hAnsi="Arial" w:cs="Arial"/>
            <w:noProof/>
            <w:sz w:val="20"/>
          </w:rPr>
          <w:t>1</w:t>
        </w:r>
        <w:r w:rsidRPr="00B90DD7">
          <w:rPr>
            <w:rFonts w:ascii="Arial" w:hAnsi="Arial" w:cs="Arial"/>
            <w:sz w:val="20"/>
          </w:rPr>
          <w:fldChar w:fldCharType="end"/>
        </w:r>
      </w:p>
    </w:sdtContent>
  </w:sdt>
  <w:p w14:paraId="0FFBA083" w14:textId="77777777" w:rsidR="00B90DD7" w:rsidRDefault="00B90D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3B68A" w14:textId="77777777" w:rsidR="00957028" w:rsidRDefault="00957028" w:rsidP="00C90884">
      <w:pPr>
        <w:spacing w:after="0" w:line="240" w:lineRule="auto"/>
      </w:pPr>
      <w:r>
        <w:separator/>
      </w:r>
    </w:p>
  </w:footnote>
  <w:footnote w:type="continuationSeparator" w:id="0">
    <w:p w14:paraId="2E0EAC7A" w14:textId="77777777" w:rsidR="00957028" w:rsidRDefault="00957028" w:rsidP="00C90884">
      <w:pPr>
        <w:spacing w:after="0" w:line="240" w:lineRule="auto"/>
      </w:pPr>
      <w:r>
        <w:continuationSeparator/>
      </w:r>
    </w:p>
  </w:footnote>
  <w:footnote w:type="continuationNotice" w:id="1">
    <w:p w14:paraId="672E99B8" w14:textId="77777777" w:rsidR="00957028" w:rsidRDefault="009570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143C6" w14:textId="0DD8A00E" w:rsidR="00C90884" w:rsidRDefault="00B90DD7" w:rsidP="0031029C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80E212" wp14:editId="56392072">
          <wp:simplePos x="0" y="0"/>
          <wp:positionH relativeFrom="margin">
            <wp:posOffset>1371600</wp:posOffset>
          </wp:positionH>
          <wp:positionV relativeFrom="margin">
            <wp:posOffset>-574675</wp:posOffset>
          </wp:positionV>
          <wp:extent cx="5760000" cy="421200"/>
          <wp:effectExtent l="0" t="0" r="0" b="0"/>
          <wp:wrapSquare wrapText="bothSides"/>
          <wp:docPr id="3" name="Obraz 3" descr="Obraz prezentujący znaki graficzne - znak Fundusze Europejskie z napisem Program Regionalny, znak barw Rzeczypospolitej Polskiej składający się z symbolu graficznego oraz nazwy Rzeczpospolita Polska, logo promocyjne województwa podkarpackiego z podpisem Podkarpackie przestrzeń otwarta, znak Unii Europejskiej z napisem Europejskie Fundusze Strukturalne i Inwestycyjn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pr-pl-podk-ue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50ACE"/>
    <w:multiLevelType w:val="hybridMultilevel"/>
    <w:tmpl w:val="5F0CD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13C"/>
    <w:multiLevelType w:val="hybridMultilevel"/>
    <w:tmpl w:val="CB18CE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6E4042"/>
    <w:multiLevelType w:val="hybridMultilevel"/>
    <w:tmpl w:val="C6BC8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219C0"/>
    <w:multiLevelType w:val="hybridMultilevel"/>
    <w:tmpl w:val="0A329720"/>
    <w:lvl w:ilvl="0" w:tplc="3C26C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05BE8"/>
    <w:multiLevelType w:val="hybridMultilevel"/>
    <w:tmpl w:val="53B256C8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D30114B"/>
    <w:multiLevelType w:val="hybridMultilevel"/>
    <w:tmpl w:val="53845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60D17"/>
    <w:multiLevelType w:val="hybridMultilevel"/>
    <w:tmpl w:val="5F746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C428E"/>
    <w:multiLevelType w:val="hybridMultilevel"/>
    <w:tmpl w:val="2BD87C78"/>
    <w:lvl w:ilvl="0" w:tplc="94C6E52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8559F"/>
    <w:multiLevelType w:val="hybridMultilevel"/>
    <w:tmpl w:val="D4F2D8F0"/>
    <w:lvl w:ilvl="0" w:tplc="3C26C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54512"/>
    <w:multiLevelType w:val="hybridMultilevel"/>
    <w:tmpl w:val="81180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B5"/>
    <w:rsid w:val="000211BA"/>
    <w:rsid w:val="00025A72"/>
    <w:rsid w:val="00073C15"/>
    <w:rsid w:val="00074F51"/>
    <w:rsid w:val="000B7331"/>
    <w:rsid w:val="000D0222"/>
    <w:rsid w:val="000F6874"/>
    <w:rsid w:val="0011749E"/>
    <w:rsid w:val="00140C88"/>
    <w:rsid w:val="001766A3"/>
    <w:rsid w:val="00184AA3"/>
    <w:rsid w:val="001908BC"/>
    <w:rsid w:val="00196741"/>
    <w:rsid w:val="001A1F49"/>
    <w:rsid w:val="001D25BC"/>
    <w:rsid w:val="001D475C"/>
    <w:rsid w:val="00230568"/>
    <w:rsid w:val="0024254F"/>
    <w:rsid w:val="00243C6C"/>
    <w:rsid w:val="00265534"/>
    <w:rsid w:val="002B14F9"/>
    <w:rsid w:val="002C2609"/>
    <w:rsid w:val="002C6879"/>
    <w:rsid w:val="002D0100"/>
    <w:rsid w:val="002F157D"/>
    <w:rsid w:val="00307C43"/>
    <w:rsid w:val="0031029C"/>
    <w:rsid w:val="00324F07"/>
    <w:rsid w:val="003506ED"/>
    <w:rsid w:val="003516DC"/>
    <w:rsid w:val="003653AE"/>
    <w:rsid w:val="003A16E8"/>
    <w:rsid w:val="003A4BA2"/>
    <w:rsid w:val="003D34A8"/>
    <w:rsid w:val="003E4AE1"/>
    <w:rsid w:val="00401032"/>
    <w:rsid w:val="00403078"/>
    <w:rsid w:val="00450662"/>
    <w:rsid w:val="004A1C80"/>
    <w:rsid w:val="004C3EA7"/>
    <w:rsid w:val="004E5F3E"/>
    <w:rsid w:val="004F5410"/>
    <w:rsid w:val="005014CC"/>
    <w:rsid w:val="00511056"/>
    <w:rsid w:val="00521712"/>
    <w:rsid w:val="0052553F"/>
    <w:rsid w:val="00552946"/>
    <w:rsid w:val="00553340"/>
    <w:rsid w:val="005B4039"/>
    <w:rsid w:val="005C296C"/>
    <w:rsid w:val="005D1BB9"/>
    <w:rsid w:val="005D413D"/>
    <w:rsid w:val="005E0154"/>
    <w:rsid w:val="005F3562"/>
    <w:rsid w:val="00670FF4"/>
    <w:rsid w:val="00676080"/>
    <w:rsid w:val="006B678C"/>
    <w:rsid w:val="006B7D52"/>
    <w:rsid w:val="006C46A0"/>
    <w:rsid w:val="006C532E"/>
    <w:rsid w:val="006D03F8"/>
    <w:rsid w:val="006F0BB3"/>
    <w:rsid w:val="006F5FF2"/>
    <w:rsid w:val="00770CF0"/>
    <w:rsid w:val="007C4F55"/>
    <w:rsid w:val="007E565F"/>
    <w:rsid w:val="00803615"/>
    <w:rsid w:val="00853BB0"/>
    <w:rsid w:val="008D52D9"/>
    <w:rsid w:val="008D6291"/>
    <w:rsid w:val="008E54B8"/>
    <w:rsid w:val="00905706"/>
    <w:rsid w:val="009101E5"/>
    <w:rsid w:val="00916D53"/>
    <w:rsid w:val="009272BD"/>
    <w:rsid w:val="00931D6A"/>
    <w:rsid w:val="00943656"/>
    <w:rsid w:val="00954690"/>
    <w:rsid w:val="00957028"/>
    <w:rsid w:val="0097204B"/>
    <w:rsid w:val="009B1AC3"/>
    <w:rsid w:val="009F0361"/>
    <w:rsid w:val="009F2DB5"/>
    <w:rsid w:val="00A17C3B"/>
    <w:rsid w:val="00A23766"/>
    <w:rsid w:val="00A3398F"/>
    <w:rsid w:val="00A90473"/>
    <w:rsid w:val="00AA66DE"/>
    <w:rsid w:val="00AB3CF8"/>
    <w:rsid w:val="00AB4754"/>
    <w:rsid w:val="00AE2EF7"/>
    <w:rsid w:val="00AF07EB"/>
    <w:rsid w:val="00B028E3"/>
    <w:rsid w:val="00B4131F"/>
    <w:rsid w:val="00B75C5E"/>
    <w:rsid w:val="00B80587"/>
    <w:rsid w:val="00B90DD7"/>
    <w:rsid w:val="00BB34B0"/>
    <w:rsid w:val="00BB3F2B"/>
    <w:rsid w:val="00BF3191"/>
    <w:rsid w:val="00C070EF"/>
    <w:rsid w:val="00C10D60"/>
    <w:rsid w:val="00C90884"/>
    <w:rsid w:val="00CD7C4B"/>
    <w:rsid w:val="00D055D5"/>
    <w:rsid w:val="00D108E4"/>
    <w:rsid w:val="00D30DAF"/>
    <w:rsid w:val="00D72A92"/>
    <w:rsid w:val="00D90577"/>
    <w:rsid w:val="00DA2091"/>
    <w:rsid w:val="00DA21E4"/>
    <w:rsid w:val="00DB3811"/>
    <w:rsid w:val="00DB68F7"/>
    <w:rsid w:val="00DC36A1"/>
    <w:rsid w:val="00DC51B7"/>
    <w:rsid w:val="00DF46FA"/>
    <w:rsid w:val="00E23955"/>
    <w:rsid w:val="00E92183"/>
    <w:rsid w:val="00E929F1"/>
    <w:rsid w:val="00E9633F"/>
    <w:rsid w:val="00EB066E"/>
    <w:rsid w:val="00ED3C92"/>
    <w:rsid w:val="00F04885"/>
    <w:rsid w:val="00F157D7"/>
    <w:rsid w:val="00F93BBB"/>
    <w:rsid w:val="00FB791A"/>
    <w:rsid w:val="00FD3A17"/>
    <w:rsid w:val="00FD74BC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95FFFF"/>
  <w15:docId w15:val="{DDE147E3-9415-422D-B858-AD69A8A2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291"/>
  </w:style>
  <w:style w:type="paragraph" w:styleId="Nagwek1">
    <w:name w:val="heading 1"/>
    <w:basedOn w:val="Normalny"/>
    <w:next w:val="Normalny"/>
    <w:link w:val="Nagwek1Znak"/>
    <w:qFormat/>
    <w:rsid w:val="00FD3A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3B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3B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3BB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BB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D3A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50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Sl_Akapit z listą,maz_wyliczenie,opis dzialania,K-P_odwolanie,A_wyliczenie,Akapit z listą 1,Table of contents numbered,Akapit z listą5,Akapit z listą5CxSpLast,Tekst punktowanie,Numerowanie,List Paragraph,BulletC,Akapit z listą BS"/>
    <w:basedOn w:val="Normalny"/>
    <w:link w:val="AkapitzlistZnak"/>
    <w:uiPriority w:val="34"/>
    <w:qFormat/>
    <w:rsid w:val="00450662"/>
    <w:pPr>
      <w:ind w:left="720"/>
      <w:contextualSpacing/>
    </w:pPr>
  </w:style>
  <w:style w:type="paragraph" w:customStyle="1" w:styleId="Default">
    <w:name w:val="Default"/>
    <w:rsid w:val="00ED3C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0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884"/>
  </w:style>
  <w:style w:type="paragraph" w:styleId="Stopka">
    <w:name w:val="footer"/>
    <w:basedOn w:val="Normalny"/>
    <w:link w:val="StopkaZnak"/>
    <w:uiPriority w:val="99"/>
    <w:unhideWhenUsed/>
    <w:rsid w:val="00C90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8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4A8"/>
    <w:rPr>
      <w:b/>
      <w:bCs/>
      <w:sz w:val="20"/>
      <w:szCs w:val="20"/>
    </w:rPr>
  </w:style>
  <w:style w:type="character" w:customStyle="1" w:styleId="AkapitzlistZnak">
    <w:name w:val="Akapit z listą Znak"/>
    <w:aliases w:val="CW_Lista Znak,Sl_Akapit z listą Znak,maz_wyliczenie Znak,opis dzialania Znak,K-P_odwolanie Znak,A_wyliczenie Znak,Akapit z listą 1 Znak,Table of contents numbered Znak,Akapit z listą5 Znak,Akapit z listą5CxSpLast Znak,BulletC Znak"/>
    <w:link w:val="Akapitzlist"/>
    <w:uiPriority w:val="34"/>
    <w:qFormat/>
    <w:locked/>
    <w:rsid w:val="0080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1896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w sprawie przyjęcia tabeli rekomendacji</dc:title>
  <dc:creator>Aleksandra Ochyra</dc:creator>
  <cp:lastModifiedBy>Czerwieniec Monika</cp:lastModifiedBy>
  <cp:revision>37</cp:revision>
  <cp:lastPrinted>2023-05-31T11:03:00Z</cp:lastPrinted>
  <dcterms:created xsi:type="dcterms:W3CDTF">2020-09-11T06:12:00Z</dcterms:created>
  <dcterms:modified xsi:type="dcterms:W3CDTF">2023-09-25T11:57:00Z</dcterms:modified>
</cp:coreProperties>
</file>