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7EEA" w14:textId="276D9D87" w:rsidR="00F93848" w:rsidRDefault="002B79F5" w:rsidP="00872340">
      <w:pPr>
        <w:pStyle w:val="Nagwek2"/>
      </w:pPr>
      <w:r>
        <w:t xml:space="preserve">Załącznik nr 4 </w:t>
      </w:r>
      <w:r w:rsidR="00F93848">
        <w:t xml:space="preserve">Tabela prezentująca syntetyczne odpowiedzi na pytania badawcze </w:t>
      </w:r>
    </w:p>
    <w:tbl>
      <w:tblPr>
        <w:tblStyle w:val="EPLtabela1"/>
        <w:tblW w:w="5008" w:type="pct"/>
        <w:tblInd w:w="0" w:type="dxa"/>
        <w:tblLook w:val="04A0" w:firstRow="1" w:lastRow="0" w:firstColumn="1" w:lastColumn="0" w:noHBand="0" w:noVBand="1"/>
        <w:tblCaption w:val="Syntetyczne odpowiedzi na pytania badawcze"/>
        <w:tblDescription w:val="Tabela prezentuje syntetyczne odpowiedzi na pytania badawcze. Każdemu pytaniu przyporządkowano syntetyczną odpowiedź."/>
      </w:tblPr>
      <w:tblGrid>
        <w:gridCol w:w="2943"/>
        <w:gridCol w:w="6113"/>
      </w:tblGrid>
      <w:tr w:rsidR="00F93848" w:rsidRPr="00F93848" w14:paraId="75BD3D1E" w14:textId="77777777" w:rsidTr="00872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</w:trPr>
        <w:tc>
          <w:tcPr>
            <w:tcW w:w="0" w:type="pct"/>
            <w:vAlign w:val="top"/>
            <w:hideMark/>
          </w:tcPr>
          <w:p w14:paraId="0D94E440" w14:textId="77777777" w:rsidR="00F93848" w:rsidRPr="00F93848" w:rsidRDefault="00F93848" w:rsidP="00F93848">
            <w:pPr>
              <w:spacing w:before="120" w:after="120"/>
              <w:ind w:left="113" w:right="113"/>
              <w:rPr>
                <w:rFonts w:cstheme="minorHAnsi"/>
                <w:sz w:val="22"/>
                <w:szCs w:val="22"/>
                <w:lang w:eastAsia="pl-PL"/>
              </w:rPr>
            </w:pPr>
            <w:proofErr w:type="spellStart"/>
            <w:r w:rsidRPr="00F93848">
              <w:rPr>
                <w:rFonts w:cstheme="minorHAnsi"/>
                <w:sz w:val="22"/>
                <w:szCs w:val="22"/>
                <w:lang w:eastAsia="pl-PL"/>
              </w:rPr>
              <w:t>Pytanie</w:t>
            </w:r>
            <w:proofErr w:type="spellEnd"/>
            <w:r w:rsidRPr="00F93848">
              <w:rPr>
                <w:rFonts w:cstheme="minorHAns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93848">
              <w:rPr>
                <w:rFonts w:cstheme="minorHAnsi"/>
                <w:sz w:val="22"/>
                <w:szCs w:val="22"/>
                <w:lang w:eastAsia="pl-PL"/>
              </w:rPr>
              <w:t>badawcze</w:t>
            </w:r>
            <w:proofErr w:type="spellEnd"/>
          </w:p>
        </w:tc>
        <w:tc>
          <w:tcPr>
            <w:tcW w:w="0" w:type="pct"/>
            <w:vAlign w:val="top"/>
            <w:hideMark/>
          </w:tcPr>
          <w:p w14:paraId="24052DDD" w14:textId="77777777" w:rsidR="00F93848" w:rsidRPr="00E5159E" w:rsidRDefault="00F93848" w:rsidP="00F93848">
            <w:pPr>
              <w:spacing w:before="120" w:after="120"/>
              <w:ind w:left="113" w:right="113"/>
              <w:rPr>
                <w:rFonts w:cstheme="minorHAnsi"/>
                <w:sz w:val="22"/>
                <w:szCs w:val="22"/>
                <w:lang w:val="pl-PL" w:eastAsia="pl-PL"/>
              </w:rPr>
            </w:pPr>
            <w:r w:rsidRPr="00E5159E">
              <w:rPr>
                <w:rFonts w:cstheme="minorHAnsi"/>
                <w:sz w:val="22"/>
                <w:szCs w:val="22"/>
                <w:lang w:val="pl-PL" w:eastAsia="pl-PL"/>
              </w:rPr>
              <w:t>Syntetyczna odpowiedź na pytanie badawcze</w:t>
            </w:r>
          </w:p>
        </w:tc>
      </w:tr>
      <w:tr w:rsidR="00F93848" w:rsidRPr="00F93848" w14:paraId="4E287271" w14:textId="77777777" w:rsidTr="0087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0" w:type="pct"/>
            <w:vAlign w:val="top"/>
            <w:hideMark/>
          </w:tcPr>
          <w:p w14:paraId="77DE8CD3" w14:textId="57219C26" w:rsidR="00F93848" w:rsidRPr="002B79F5" w:rsidRDefault="00F93848" w:rsidP="00F044DA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2B79F5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1. Jaka jest teoria zmiany wsparcia (logika interwencji) w zakresie działań rewitalizacyjnych? Czy zastosowana logika interwencji pozwoli/pozwoliła na osiągnięcie spodziewanych wyników interwencji w ramach RPO WP 2014-2020? </w:t>
            </w:r>
          </w:p>
        </w:tc>
        <w:tc>
          <w:tcPr>
            <w:tcW w:w="0" w:type="pct"/>
            <w:vAlign w:val="top"/>
            <w:hideMark/>
          </w:tcPr>
          <w:p w14:paraId="17DE81DB" w14:textId="2DFC0ADC" w:rsidR="00F93848" w:rsidRPr="002B79F5" w:rsidRDefault="002B7DA4" w:rsidP="00F044DA">
            <w:pPr>
              <w:spacing w:before="120" w:after="120"/>
              <w:ind w:left="113" w:right="113"/>
              <w:rPr>
                <w:rFonts w:cstheme="minorHAnsi"/>
                <w:sz w:val="22"/>
                <w:szCs w:val="22"/>
                <w:lang w:val="pl-PL" w:eastAsia="pl-PL"/>
              </w:rPr>
            </w:pP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>Zastosowana logika interwencji w zakresie rewitalizacji pozwoli na osiągnięcie spodziewanych wyników w ramach RPO WP 2014-2020. Zaproponowane w Programie wsparcie w pełni odpowiada na potrzeby gmin, które miały możliwość dofinansowania przedsięwzięć</w:t>
            </w:r>
            <w:r w:rsidR="00842B9A">
              <w:rPr>
                <w:rFonts w:cstheme="minorHAnsi"/>
                <w:sz w:val="22"/>
                <w:szCs w:val="22"/>
                <w:lang w:val="pl-PL" w:eastAsia="pl-PL"/>
              </w:rPr>
              <w:t>,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 zarówno w ramach Działania 6.3 i 6.5</w:t>
            </w:r>
            <w:r w:rsidR="00B149F1">
              <w:rPr>
                <w:rFonts w:cstheme="minorHAnsi"/>
                <w:sz w:val="22"/>
                <w:szCs w:val="22"/>
                <w:lang w:val="pl-PL" w:eastAsia="pl-PL"/>
              </w:rPr>
              <w:t>,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 skierowanych bezpośrednio na rewitalizację przestrzeni, jak i w ramach komplementarnych do nich projektów </w:t>
            </w:r>
            <w:r w:rsidR="00B149F1">
              <w:rPr>
                <w:rFonts w:cstheme="minorHAnsi"/>
                <w:sz w:val="22"/>
                <w:szCs w:val="22"/>
                <w:lang w:val="pl-PL" w:eastAsia="pl-PL"/>
              </w:rPr>
              <w:t>z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 </w:t>
            </w:r>
            <w:r w:rsidR="00D328DB">
              <w:rPr>
                <w:rFonts w:cstheme="minorHAnsi"/>
                <w:sz w:val="22"/>
                <w:szCs w:val="22"/>
                <w:lang w:val="pl-PL" w:eastAsia="pl-PL"/>
              </w:rPr>
              <w:t>wybranych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 Działań współfinansowanych z EFS. Uzupełnieniem wsparcia był</w:t>
            </w:r>
            <w:r w:rsidR="009A0094" w:rsidRPr="002B79F5">
              <w:rPr>
                <w:rFonts w:cstheme="minorHAnsi"/>
                <w:sz w:val="22"/>
                <w:szCs w:val="22"/>
                <w:lang w:val="pl-PL" w:eastAsia="pl-PL"/>
              </w:rPr>
              <w:t>a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 ponadto </w:t>
            </w:r>
            <w:r w:rsidR="009A0094"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część Działań w ramach OP </w:t>
            </w:r>
            <w:r w:rsidR="005F1D7B" w:rsidRPr="002B79F5">
              <w:rPr>
                <w:rFonts w:cstheme="minorHAnsi"/>
                <w:sz w:val="22"/>
                <w:szCs w:val="22"/>
                <w:lang w:val="pl-PL" w:eastAsia="pl-PL"/>
              </w:rPr>
              <w:t>I</w:t>
            </w:r>
            <w:r w:rsidR="009A0094"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, OP </w:t>
            </w:r>
            <w:r w:rsidR="005F1D7B" w:rsidRPr="002B79F5">
              <w:rPr>
                <w:rFonts w:cstheme="minorHAnsi"/>
                <w:sz w:val="22"/>
                <w:szCs w:val="22"/>
                <w:lang w:val="pl-PL" w:eastAsia="pl-PL"/>
              </w:rPr>
              <w:t>III</w:t>
            </w:r>
            <w:r w:rsidR="009A0094"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, OP </w:t>
            </w:r>
            <w:r w:rsidR="005F1D7B" w:rsidRPr="002B79F5">
              <w:rPr>
                <w:rFonts w:cstheme="minorHAnsi"/>
                <w:sz w:val="22"/>
                <w:szCs w:val="22"/>
                <w:lang w:val="pl-PL" w:eastAsia="pl-PL"/>
              </w:rPr>
              <w:t>IV</w:t>
            </w:r>
            <w:r w:rsidR="009A0094"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, OP </w:t>
            </w:r>
            <w:r w:rsidR="005F1D7B" w:rsidRPr="002B79F5">
              <w:rPr>
                <w:rFonts w:cstheme="minorHAnsi"/>
                <w:sz w:val="22"/>
                <w:szCs w:val="22"/>
                <w:lang w:val="pl-PL" w:eastAsia="pl-PL"/>
              </w:rPr>
              <w:t>V</w:t>
            </w:r>
            <w:r w:rsidR="009A0094"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 oraz OP </w:t>
            </w:r>
            <w:r w:rsidR="005F1D7B" w:rsidRPr="002B79F5">
              <w:rPr>
                <w:rFonts w:cstheme="minorHAnsi"/>
                <w:sz w:val="22"/>
                <w:szCs w:val="22"/>
                <w:lang w:val="pl-PL" w:eastAsia="pl-PL"/>
              </w:rPr>
              <w:t>VI</w:t>
            </w:r>
            <w:r w:rsidR="009A0094" w:rsidRPr="002B79F5">
              <w:rPr>
                <w:rFonts w:cstheme="minorHAnsi"/>
                <w:sz w:val="22"/>
                <w:szCs w:val="22"/>
                <w:lang w:val="pl-PL" w:eastAsia="pl-PL"/>
              </w:rPr>
              <w:t>, choć nie przypisano im żadnych preferencji w zakresie rewitalizacji. Zakres wsparcia jest zgodny z kierunkami wyznaczonymi w Umowie Partnerstwa oraz w Wytycznych w zakresie rewitalizacji w programach operacyjnych na lata 2014-2020</w:t>
            </w:r>
            <w:r w:rsidR="00351CB5" w:rsidRPr="002B79F5">
              <w:rPr>
                <w:rFonts w:cstheme="minorHAnsi"/>
                <w:sz w:val="22"/>
                <w:szCs w:val="22"/>
                <w:lang w:val="pl-PL" w:eastAsia="pl-PL"/>
              </w:rPr>
              <w:t>, wskazującymi na konieczność zapewnienia kompleksowego podejścia do wdrażania projektów rewitalizacyjnych w gminach. Obowiązek zapewnienia przez wnioskodawców bezpośredniej komplementarności pomiędzy przedsięwzięciami współfinansowanymi z EFRR oraz z EFS zwiększył poziom zintegrowania procesów rewitalizacji prowadzonych w gminach</w:t>
            </w:r>
            <w:r w:rsidR="00B54C4E" w:rsidRPr="002B79F5">
              <w:rPr>
                <w:rFonts w:cstheme="minorHAnsi"/>
                <w:sz w:val="22"/>
                <w:szCs w:val="22"/>
                <w:lang w:val="pl-PL" w:eastAsia="pl-PL"/>
              </w:rPr>
              <w:t>. Warunki obowiązujące w Programie sprzyjały realizacji przyjętych założeń. Nie zidentyfikowano zagrożeń dla realizacji założonych celów</w:t>
            </w:r>
            <w:r w:rsidR="00F93848"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 (więcej w rozdz. </w:t>
            </w:r>
            <w:r w:rsidR="00CC6088" w:rsidRPr="002B79F5">
              <w:rPr>
                <w:rFonts w:cstheme="minorHAnsi"/>
                <w:sz w:val="22"/>
                <w:szCs w:val="22"/>
                <w:lang w:val="pl-PL" w:eastAsia="pl-PL"/>
              </w:rPr>
              <w:t>3.1</w:t>
            </w:r>
            <w:r w:rsidR="00F93848" w:rsidRPr="002B79F5">
              <w:rPr>
                <w:rFonts w:cstheme="minorHAnsi"/>
                <w:sz w:val="22"/>
                <w:szCs w:val="22"/>
                <w:lang w:val="pl-PL" w:eastAsia="pl-PL"/>
              </w:rPr>
              <w:t>).</w:t>
            </w:r>
          </w:p>
        </w:tc>
      </w:tr>
      <w:tr w:rsidR="005F1D7B" w:rsidRPr="00F93848" w14:paraId="22133B2E" w14:textId="77777777" w:rsidTr="00F938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625" w:type="pct"/>
            <w:vAlign w:val="top"/>
          </w:tcPr>
          <w:p w14:paraId="00BB48A0" w14:textId="28A92ED3" w:rsidR="005F1D7B" w:rsidRPr="002B79F5" w:rsidRDefault="005F1D7B" w:rsidP="005F1D7B">
            <w:pPr>
              <w:pStyle w:val="Default"/>
              <w:spacing w:after="78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2B79F5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2. Jaka jest skuteczność wsparcia obszaru rewitalizacji w ramach RPO WP 2014-2020? </w:t>
            </w:r>
          </w:p>
        </w:tc>
        <w:tc>
          <w:tcPr>
            <w:tcW w:w="3375" w:type="pct"/>
            <w:vAlign w:val="top"/>
          </w:tcPr>
          <w:p w14:paraId="2C4AD8DC" w14:textId="0588B4D2" w:rsidR="005F1D7B" w:rsidRPr="002B79F5" w:rsidRDefault="005F1D7B" w:rsidP="005F1D7B">
            <w:pPr>
              <w:spacing w:before="120" w:after="120"/>
              <w:ind w:left="113" w:right="113"/>
              <w:rPr>
                <w:rFonts w:cstheme="minorHAnsi"/>
                <w:sz w:val="22"/>
                <w:szCs w:val="22"/>
                <w:lang w:val="pl-PL" w:eastAsia="pl-PL"/>
              </w:rPr>
            </w:pP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W ramach </w:t>
            </w:r>
            <w:r w:rsidR="001356FF">
              <w:rPr>
                <w:rFonts w:cstheme="minorHAnsi"/>
                <w:sz w:val="22"/>
                <w:szCs w:val="22"/>
                <w:lang w:val="pl-PL" w:eastAsia="pl-PL"/>
              </w:rPr>
              <w:t xml:space="preserve">wsparcia 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procesu rewitalizacji </w:t>
            </w:r>
            <w:r w:rsidR="001356FF">
              <w:rPr>
                <w:rFonts w:cstheme="minorHAnsi"/>
                <w:sz w:val="22"/>
                <w:szCs w:val="22"/>
                <w:lang w:val="pl-PL" w:eastAsia="pl-PL"/>
              </w:rPr>
              <w:t xml:space="preserve">ze środków RPO WP 2014-2020 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udało się zrealizować zaplanowane wskaźniki – nie istnieje ryzyko nieosiągnięcia wartości docelowych wskaźników. Dotyczy to zarówno wskaźników w projektach rewitalizacyjnych z </w:t>
            </w:r>
            <w:r w:rsidR="00D328DB">
              <w:rPr>
                <w:rFonts w:cstheme="minorHAnsi"/>
                <w:sz w:val="22"/>
                <w:szCs w:val="22"/>
                <w:lang w:val="pl-PL" w:eastAsia="pl-PL"/>
              </w:rPr>
              <w:t>D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ziałań 6.3. oraz 6.5, jak też wskaźników przewidzianych dla projektów </w:t>
            </w:r>
            <w:r w:rsidR="00D328DB">
              <w:rPr>
                <w:rFonts w:cstheme="minorHAnsi"/>
                <w:sz w:val="22"/>
                <w:szCs w:val="22"/>
                <w:lang w:val="pl-PL" w:eastAsia="pl-PL"/>
              </w:rPr>
              <w:t xml:space="preserve">powiązanych i 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>uzupełniających. Duży wpływ na realizację przedsięwzięć rewitalizacyjnych wywarła pandemia COVID-19 oraz inflacja.</w:t>
            </w:r>
          </w:p>
          <w:p w14:paraId="4E6E292B" w14:textId="688D972E" w:rsidR="005F1D7B" w:rsidRDefault="005F1D7B" w:rsidP="005F1D7B">
            <w:pPr>
              <w:spacing w:before="120" w:after="120"/>
              <w:ind w:left="113" w:right="113"/>
              <w:rPr>
                <w:rFonts w:cstheme="minorHAnsi"/>
                <w:sz w:val="22"/>
                <w:szCs w:val="22"/>
                <w:lang w:val="pl-PL" w:eastAsia="pl-PL"/>
              </w:rPr>
            </w:pP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>Proces rewitalizacji realizowany w formule ZIT oceniany jest pozytywnie</w:t>
            </w:r>
            <w:r w:rsidR="00F044DA">
              <w:rPr>
                <w:rFonts w:cstheme="minorHAnsi"/>
                <w:sz w:val="22"/>
                <w:szCs w:val="22"/>
                <w:lang w:val="pl-PL" w:eastAsia="pl-PL"/>
              </w:rPr>
              <w:t xml:space="preserve">. </w:t>
            </w:r>
            <w:r w:rsidR="00F044DA" w:rsidRPr="00F044DA">
              <w:rPr>
                <w:rFonts w:cstheme="minorHAnsi"/>
                <w:sz w:val="22"/>
                <w:szCs w:val="22"/>
                <w:lang w:val="pl-PL" w:eastAsia="pl-PL"/>
              </w:rPr>
              <w:t xml:space="preserve">Koncepcja połączenia procesu rewitalizacji z instrumentem ZIT miała na celu kompleksowe i zintegrowane rozwiązanie problemów w zakresie działań rewitalizacyjnych. Realizacja projektów w ramach Działania 6.5 pozwoliła na ograniczenie istotnych problemów zidentyfikowanych w LPR/GPR na obszarach rewitalizacji w gminach wchodzących w skład ROF, co pozwoliło na zmaksymalizowanie efektów </w:t>
            </w:r>
            <w:r w:rsidR="00F044DA" w:rsidRPr="00F044DA">
              <w:rPr>
                <w:rFonts w:cstheme="minorHAnsi"/>
                <w:sz w:val="22"/>
                <w:szCs w:val="22"/>
                <w:lang w:val="pl-PL" w:eastAsia="pl-PL"/>
              </w:rPr>
              <w:lastRenderedPageBreak/>
              <w:t xml:space="preserve">interwencji. </w:t>
            </w:r>
            <w:r w:rsidR="00F044DA">
              <w:rPr>
                <w:rFonts w:cstheme="minorHAnsi"/>
                <w:sz w:val="22"/>
                <w:szCs w:val="22"/>
                <w:lang w:val="pl-PL" w:eastAsia="pl-PL"/>
              </w:rPr>
              <w:t>P</w:t>
            </w:r>
            <w:r w:rsidR="00F044DA" w:rsidRPr="00F044DA">
              <w:rPr>
                <w:rFonts w:cstheme="minorHAnsi"/>
                <w:sz w:val="22"/>
                <w:szCs w:val="22"/>
                <w:lang w:val="pl-PL" w:eastAsia="pl-PL"/>
              </w:rPr>
              <w:t>ozytywnym aspektem korelacji instrumentu ZIT i rewitalizacji było</w:t>
            </w:r>
            <w:r w:rsidR="00F044DA">
              <w:rPr>
                <w:rFonts w:cstheme="minorHAnsi"/>
                <w:sz w:val="22"/>
                <w:szCs w:val="22"/>
                <w:lang w:val="pl-PL" w:eastAsia="pl-PL"/>
              </w:rPr>
              <w:t xml:space="preserve"> także</w:t>
            </w:r>
            <w:r w:rsidR="00F044DA" w:rsidRPr="00F044DA">
              <w:rPr>
                <w:rFonts w:cstheme="minorHAnsi"/>
                <w:sz w:val="22"/>
                <w:szCs w:val="22"/>
                <w:lang w:val="pl-PL" w:eastAsia="pl-PL"/>
              </w:rPr>
              <w:t xml:space="preserve"> kompleksowe zapewnienie komplementarności EFRR z EFS.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 </w:t>
            </w:r>
          </w:p>
          <w:p w14:paraId="7DC039F1" w14:textId="1AEDB713" w:rsidR="002B6762" w:rsidRPr="002B79F5" w:rsidRDefault="002B6762" w:rsidP="002B6762">
            <w:pPr>
              <w:spacing w:before="120" w:after="120"/>
              <w:ind w:left="113" w:right="113"/>
              <w:rPr>
                <w:rFonts w:cstheme="minorHAnsi"/>
                <w:sz w:val="22"/>
                <w:szCs w:val="22"/>
                <w:lang w:val="pl-PL" w:eastAsia="pl-PL"/>
              </w:rPr>
            </w:pPr>
            <w:bookmarkStart w:id="0" w:name="_Hlk141822753"/>
            <w:r>
              <w:rPr>
                <w:rFonts w:cstheme="minorHAnsi"/>
                <w:sz w:val="22"/>
                <w:szCs w:val="22"/>
                <w:lang w:val="pl-PL" w:eastAsia="pl-PL"/>
              </w:rPr>
              <w:t xml:space="preserve">Do najczęściej wskazywanych szans dla dalszego prowadzenia procesu rewitalizacji w gminach należy </w:t>
            </w:r>
            <w:r w:rsidRPr="002B6762">
              <w:rPr>
                <w:rFonts w:cstheme="minorHAnsi"/>
                <w:sz w:val="22"/>
                <w:szCs w:val="22"/>
                <w:lang w:val="pl-PL" w:eastAsia="pl-PL"/>
              </w:rPr>
              <w:t>nabycie przez wnioskodawców i beneficjentów doświadczenia w zakresie aplikowania i realizacji projektów</w:t>
            </w:r>
            <w:r>
              <w:rPr>
                <w:rFonts w:cstheme="minorHAnsi"/>
                <w:sz w:val="22"/>
                <w:szCs w:val="22"/>
                <w:lang w:val="pl-PL" w:eastAsia="pl-PL"/>
              </w:rPr>
              <w:t xml:space="preserve">, partycypacja społeczności lokalnej, </w:t>
            </w:r>
            <w:r w:rsidRPr="002B6762">
              <w:rPr>
                <w:rFonts w:cstheme="minorHAnsi"/>
                <w:sz w:val="22"/>
                <w:szCs w:val="22"/>
                <w:lang w:val="pl-PL" w:eastAsia="pl-PL"/>
              </w:rPr>
              <w:t xml:space="preserve">uwzględnianie tematyki </w:t>
            </w:r>
            <w:proofErr w:type="spellStart"/>
            <w:r w:rsidRPr="002B6762">
              <w:rPr>
                <w:rFonts w:cstheme="minorHAnsi"/>
                <w:sz w:val="22"/>
                <w:szCs w:val="22"/>
                <w:lang w:val="pl-PL" w:eastAsia="pl-PL"/>
              </w:rPr>
              <w:t>prośrodowiskowej</w:t>
            </w:r>
            <w:proofErr w:type="spellEnd"/>
            <w:r>
              <w:rPr>
                <w:rFonts w:cstheme="minorHAnsi"/>
                <w:sz w:val="22"/>
                <w:szCs w:val="22"/>
                <w:lang w:val="pl-PL" w:eastAsia="pl-PL"/>
              </w:rPr>
              <w:t xml:space="preserve">, poprawa wizerunku obszaru oraz wytworzenie pozytywnego klimatu społecznego dla dalszych zmian. Do wskazywanych potencjalnych barier dla realizacji działań rewitalizacyjnych należały natomiast inflacja i ograniczone środki na dalsze przedsięwzięcia, </w:t>
            </w:r>
            <w:r w:rsidRPr="002B6762">
              <w:rPr>
                <w:rFonts w:cstheme="minorHAnsi"/>
                <w:sz w:val="22"/>
                <w:szCs w:val="22"/>
                <w:lang w:val="pl-PL" w:eastAsia="pl-PL"/>
              </w:rPr>
              <w:t>ryzyko niskiej świadomości gmin w zakresie konieczności zachowania trwałości projektów</w:t>
            </w:r>
            <w:r>
              <w:rPr>
                <w:rFonts w:cstheme="minorHAnsi"/>
                <w:sz w:val="22"/>
                <w:szCs w:val="22"/>
                <w:lang w:val="pl-PL" w:eastAsia="pl-PL"/>
              </w:rPr>
              <w:t xml:space="preserve">, odpływ mieszkańców i brak ich zainteresowania procesami rewitalizacji. </w:t>
            </w:r>
          </w:p>
          <w:p w14:paraId="3D0FCC09" w14:textId="3B71D33F" w:rsidR="005F1D7B" w:rsidRPr="002B79F5" w:rsidRDefault="008F5B83" w:rsidP="008F5B83">
            <w:pPr>
              <w:spacing w:before="120" w:after="120"/>
              <w:ind w:left="113" w:right="113"/>
              <w:rPr>
                <w:rFonts w:cstheme="minorHAnsi"/>
                <w:sz w:val="22"/>
                <w:szCs w:val="22"/>
                <w:lang w:val="pl-PL" w:eastAsia="pl-PL"/>
              </w:rPr>
            </w:pPr>
            <w:bookmarkStart w:id="1" w:name="_Hlk141822473"/>
            <w:bookmarkEnd w:id="0"/>
            <w:r>
              <w:rPr>
                <w:rFonts w:cstheme="minorHAnsi"/>
                <w:sz w:val="22"/>
                <w:szCs w:val="22"/>
                <w:lang w:val="pl-PL" w:eastAsia="pl-PL"/>
              </w:rPr>
              <w:t>Działania</w:t>
            </w:r>
            <w:r w:rsidRPr="001A775A">
              <w:rPr>
                <w:rFonts w:cstheme="minorHAnsi"/>
                <w:sz w:val="22"/>
                <w:szCs w:val="22"/>
                <w:lang w:val="pl-PL" w:eastAsia="pl-PL"/>
              </w:rPr>
              <w:t xml:space="preserve"> organizacyjno-techniczn</w:t>
            </w:r>
            <w:r>
              <w:rPr>
                <w:rFonts w:cstheme="minorHAnsi"/>
                <w:sz w:val="22"/>
                <w:szCs w:val="22"/>
                <w:lang w:val="pl-PL" w:eastAsia="pl-PL"/>
              </w:rPr>
              <w:t>e</w:t>
            </w:r>
            <w:r w:rsidRPr="001A775A">
              <w:rPr>
                <w:rFonts w:cstheme="minorHAnsi"/>
                <w:sz w:val="22"/>
                <w:szCs w:val="22"/>
                <w:lang w:val="pl-PL" w:eastAsia="pl-PL"/>
              </w:rPr>
              <w:t xml:space="preserve"> podjęt</w:t>
            </w:r>
            <w:r>
              <w:rPr>
                <w:rFonts w:cstheme="minorHAnsi"/>
                <w:sz w:val="22"/>
                <w:szCs w:val="22"/>
                <w:lang w:val="pl-PL" w:eastAsia="pl-PL"/>
              </w:rPr>
              <w:t>e</w:t>
            </w:r>
            <w:r w:rsidRPr="001A775A">
              <w:rPr>
                <w:rFonts w:cstheme="minorHAnsi"/>
                <w:sz w:val="22"/>
                <w:szCs w:val="22"/>
                <w:lang w:val="pl-PL" w:eastAsia="pl-PL"/>
              </w:rPr>
              <w:t xml:space="preserve"> przez IZ RPO WP 2014-2020</w:t>
            </w:r>
            <w:r w:rsidR="00F044DA">
              <w:rPr>
                <w:rFonts w:cstheme="minorHAnsi"/>
                <w:sz w:val="22"/>
                <w:szCs w:val="22"/>
                <w:lang w:val="pl-PL" w:eastAsia="pl-PL"/>
              </w:rPr>
              <w:t xml:space="preserve"> oraz </w:t>
            </w:r>
            <w:r w:rsidRPr="001A775A">
              <w:rPr>
                <w:rFonts w:cstheme="minorHAnsi"/>
                <w:sz w:val="22"/>
                <w:szCs w:val="22"/>
                <w:lang w:val="pl-PL" w:eastAsia="pl-PL"/>
              </w:rPr>
              <w:t>IP RPO WP 2014-2020</w:t>
            </w:r>
            <w:r>
              <w:rPr>
                <w:rFonts w:cstheme="minorHAnsi"/>
                <w:sz w:val="22"/>
                <w:szCs w:val="22"/>
                <w:lang w:val="pl-PL" w:eastAsia="pl-PL"/>
              </w:rPr>
              <w:t xml:space="preserve"> należy ocenić pozytywnie. Kryteria oceny wniosków nie sprawiały potencjalnym beneficjentom większej trudności. Wyjątkiem było kryterium komplementarności z projektem EFS w odniesieniu do Działania 6.3 i 6.5</w:t>
            </w:r>
            <w:r w:rsidR="00EE1592">
              <w:rPr>
                <w:rFonts w:cstheme="minorHAnsi"/>
                <w:sz w:val="22"/>
                <w:szCs w:val="22"/>
                <w:lang w:val="pl-PL" w:eastAsia="pl-PL"/>
              </w:rPr>
              <w:t>.</w:t>
            </w:r>
            <w:r>
              <w:rPr>
                <w:rFonts w:cstheme="minorHAnsi"/>
                <w:sz w:val="22"/>
                <w:szCs w:val="22"/>
                <w:lang w:val="pl-PL" w:eastAsia="pl-PL"/>
              </w:rPr>
              <w:t xml:space="preserve"> W tym aspekcie wysok</w:t>
            </w:r>
            <w:r w:rsidR="00BD11A7">
              <w:rPr>
                <w:rFonts w:cstheme="minorHAnsi"/>
                <w:sz w:val="22"/>
                <w:szCs w:val="22"/>
                <w:lang w:val="pl-PL" w:eastAsia="pl-PL"/>
              </w:rPr>
              <w:t>ą</w:t>
            </w:r>
            <w:r>
              <w:rPr>
                <w:rFonts w:cstheme="minorHAnsi"/>
                <w:sz w:val="22"/>
                <w:szCs w:val="22"/>
                <w:lang w:val="pl-PL" w:eastAsia="pl-PL"/>
              </w:rPr>
              <w:t xml:space="preserve"> skutecznością działania wykazał się Zespół ds. </w:t>
            </w:r>
            <w:r w:rsidR="00C873EF">
              <w:rPr>
                <w:rFonts w:cstheme="minorHAnsi"/>
                <w:sz w:val="22"/>
                <w:szCs w:val="22"/>
                <w:lang w:val="pl-PL" w:eastAsia="pl-PL"/>
              </w:rPr>
              <w:t>r</w:t>
            </w:r>
            <w:r>
              <w:rPr>
                <w:rFonts w:cstheme="minorHAnsi"/>
                <w:sz w:val="22"/>
                <w:szCs w:val="22"/>
                <w:lang w:val="pl-PL" w:eastAsia="pl-PL"/>
              </w:rPr>
              <w:t xml:space="preserve">ewitalizacji. </w:t>
            </w:r>
            <w:r w:rsidR="00F044DA">
              <w:rPr>
                <w:rFonts w:cstheme="minorHAnsi"/>
                <w:sz w:val="22"/>
                <w:szCs w:val="22"/>
                <w:lang w:val="pl-PL" w:eastAsia="pl-PL"/>
              </w:rPr>
              <w:t>Działania</w:t>
            </w:r>
            <w:r>
              <w:rPr>
                <w:rFonts w:cstheme="minorHAnsi"/>
                <w:sz w:val="22"/>
                <w:szCs w:val="22"/>
                <w:lang w:val="pl-PL" w:eastAsia="pl-PL"/>
              </w:rPr>
              <w:t xml:space="preserve"> informacyjno-promocyjne realizowane przez Zespół zostały pozytywnie ocenione przez realizatorów projektów. Wobec tego, rekomenduje się kontynuowanie prac Zespołu w perspektywie finansowej 2021-2027. Ponadto, rekomenduje </w:t>
            </w:r>
            <w:r w:rsidRPr="0027383C">
              <w:rPr>
                <w:rFonts w:cstheme="minorHAnsi"/>
                <w:sz w:val="22"/>
                <w:szCs w:val="22"/>
                <w:lang w:val="pl-PL" w:eastAsia="pl-PL"/>
              </w:rPr>
              <w:t xml:space="preserve">się kontynuowanie działań edukacyjnych dla gmin </w:t>
            </w:r>
            <w:r>
              <w:rPr>
                <w:rFonts w:cstheme="minorHAnsi"/>
                <w:sz w:val="22"/>
                <w:szCs w:val="22"/>
                <w:lang w:val="pl-PL" w:eastAsia="pl-PL"/>
              </w:rPr>
              <w:t>z regionu</w:t>
            </w:r>
            <w:r w:rsidRPr="0027383C">
              <w:rPr>
                <w:rFonts w:cstheme="minorHAnsi"/>
                <w:sz w:val="22"/>
                <w:szCs w:val="22"/>
                <w:lang w:val="pl-PL" w:eastAsia="pl-PL"/>
              </w:rPr>
              <w:t>, dotyczących prowadzenia procesu rewitalizacji,</w:t>
            </w:r>
            <w:r>
              <w:rPr>
                <w:rFonts w:cstheme="minorHAnsi"/>
                <w:sz w:val="22"/>
                <w:szCs w:val="22"/>
                <w:lang w:val="pl-PL" w:eastAsia="pl-PL"/>
              </w:rPr>
              <w:t xml:space="preserve"> co powinno przyczynić się do realizacji bardziej kompleksowych działań na terenach rewitalizowanych </w:t>
            </w:r>
            <w:bookmarkEnd w:id="1"/>
            <w:r w:rsidR="005F1D7B" w:rsidRPr="002B79F5">
              <w:rPr>
                <w:rFonts w:cstheme="minorHAnsi"/>
                <w:sz w:val="22"/>
                <w:szCs w:val="22"/>
                <w:lang w:val="pl-PL" w:eastAsia="pl-PL"/>
              </w:rPr>
              <w:t>(więcej w rozdziale. 3.2).</w:t>
            </w:r>
          </w:p>
        </w:tc>
      </w:tr>
      <w:tr w:rsidR="005F1D7B" w:rsidRPr="00F93848" w14:paraId="35F8D8E5" w14:textId="77777777" w:rsidTr="00F9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625" w:type="pct"/>
            <w:vAlign w:val="top"/>
          </w:tcPr>
          <w:p w14:paraId="56D2193E" w14:textId="3E21E094" w:rsidR="005F1D7B" w:rsidRPr="002B79F5" w:rsidRDefault="005F1D7B" w:rsidP="005F1D7B">
            <w:pPr>
              <w:pStyle w:val="Default"/>
              <w:spacing w:after="78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79F5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 xml:space="preserve">3. Jakie efekty osiągnięto dzięki realizacji działań rewitalizacyjnych realizowanych w ramach RPO WP 2014-2020? </w:t>
            </w:r>
            <w:r w:rsidRPr="002B79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Czy </w:t>
            </w:r>
            <w:proofErr w:type="spellStart"/>
            <w:r w:rsidRPr="002B79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wystąpiły</w:t>
            </w:r>
            <w:proofErr w:type="spellEnd"/>
            <w:r w:rsidRPr="002B79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79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nieplanowane</w:t>
            </w:r>
            <w:proofErr w:type="spellEnd"/>
            <w:r w:rsidRPr="002B79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efekty interwencji? </w:t>
            </w:r>
          </w:p>
        </w:tc>
        <w:tc>
          <w:tcPr>
            <w:tcW w:w="3375" w:type="pct"/>
            <w:vAlign w:val="top"/>
          </w:tcPr>
          <w:p w14:paraId="6BAC25B1" w14:textId="77777777" w:rsidR="00EE1592" w:rsidRPr="00EE1592" w:rsidRDefault="00EE1592" w:rsidP="00EE1592">
            <w:pPr>
              <w:rPr>
                <w:sz w:val="22"/>
                <w:szCs w:val="22"/>
              </w:rPr>
            </w:pPr>
            <w:r w:rsidRPr="00EE1592">
              <w:rPr>
                <w:sz w:val="22"/>
                <w:szCs w:val="22"/>
              </w:rPr>
              <w:t xml:space="preserve">Z badania wynika, że projekty rewitalizacyjne realizowane w ramach Działań 6.3 i 6.5 miały </w:t>
            </w:r>
            <w:proofErr w:type="spellStart"/>
            <w:r w:rsidRPr="00EE1592">
              <w:rPr>
                <w:sz w:val="22"/>
                <w:szCs w:val="22"/>
              </w:rPr>
              <w:t>największy</w:t>
            </w:r>
            <w:proofErr w:type="spellEnd"/>
            <w:r w:rsidRPr="00EE1592">
              <w:rPr>
                <w:sz w:val="22"/>
                <w:szCs w:val="22"/>
              </w:rPr>
              <w:t xml:space="preserve"> wpływ na poprawę </w:t>
            </w:r>
            <w:proofErr w:type="spellStart"/>
            <w:r w:rsidRPr="00EE1592">
              <w:rPr>
                <w:sz w:val="22"/>
                <w:szCs w:val="22"/>
              </w:rPr>
              <w:t>estetyki</w:t>
            </w:r>
            <w:proofErr w:type="spellEnd"/>
            <w:r w:rsidRPr="00EE1592">
              <w:rPr>
                <w:sz w:val="22"/>
                <w:szCs w:val="22"/>
              </w:rPr>
              <w:t xml:space="preserve"> i </w:t>
            </w:r>
            <w:proofErr w:type="spellStart"/>
            <w:r w:rsidRPr="00EE1592">
              <w:rPr>
                <w:sz w:val="22"/>
                <w:szCs w:val="22"/>
              </w:rPr>
              <w:t>komfortu</w:t>
            </w:r>
            <w:proofErr w:type="spellEnd"/>
            <w:r w:rsidRPr="00EE1592">
              <w:rPr>
                <w:sz w:val="22"/>
                <w:szCs w:val="22"/>
              </w:rPr>
              <w:t xml:space="preserve"> </w:t>
            </w:r>
            <w:proofErr w:type="spellStart"/>
            <w:r w:rsidRPr="00EE1592">
              <w:rPr>
                <w:sz w:val="22"/>
                <w:szCs w:val="22"/>
              </w:rPr>
              <w:t>korzystania</w:t>
            </w:r>
            <w:proofErr w:type="spellEnd"/>
            <w:r w:rsidRPr="00EE1592">
              <w:rPr>
                <w:sz w:val="22"/>
                <w:szCs w:val="22"/>
              </w:rPr>
              <w:t xml:space="preserve"> z przestrzeni publicznych, jakość życia mieszkańców oraz podniesienie </w:t>
            </w:r>
            <w:proofErr w:type="spellStart"/>
            <w:r w:rsidRPr="00EE1592">
              <w:rPr>
                <w:sz w:val="22"/>
                <w:szCs w:val="22"/>
              </w:rPr>
              <w:t>atrakcyjności</w:t>
            </w:r>
            <w:proofErr w:type="spellEnd"/>
            <w:r w:rsidRPr="00EE1592">
              <w:rPr>
                <w:sz w:val="22"/>
                <w:szCs w:val="22"/>
              </w:rPr>
              <w:t xml:space="preserve"> centrum </w:t>
            </w:r>
            <w:proofErr w:type="spellStart"/>
            <w:r w:rsidRPr="00EE1592">
              <w:rPr>
                <w:sz w:val="22"/>
                <w:szCs w:val="22"/>
              </w:rPr>
              <w:t>miejscowości</w:t>
            </w:r>
            <w:proofErr w:type="spellEnd"/>
            <w:r w:rsidRPr="00EE1592">
              <w:rPr>
                <w:sz w:val="22"/>
                <w:szCs w:val="22"/>
              </w:rPr>
              <w:t xml:space="preserve">. Wpływały także </w:t>
            </w:r>
            <w:proofErr w:type="spellStart"/>
            <w:r w:rsidRPr="00EE1592">
              <w:rPr>
                <w:sz w:val="22"/>
                <w:szCs w:val="22"/>
              </w:rPr>
              <w:t>znacząco</w:t>
            </w:r>
            <w:proofErr w:type="spellEnd"/>
            <w:r w:rsidRPr="00EE1592">
              <w:rPr>
                <w:sz w:val="22"/>
                <w:szCs w:val="22"/>
              </w:rPr>
              <w:t xml:space="preserve"> na </w:t>
            </w:r>
            <w:proofErr w:type="spellStart"/>
            <w:r w:rsidRPr="00EE1592">
              <w:rPr>
                <w:sz w:val="22"/>
                <w:szCs w:val="22"/>
              </w:rPr>
              <w:t>ożywienie</w:t>
            </w:r>
            <w:proofErr w:type="spellEnd"/>
            <w:r w:rsidRPr="00EE1592">
              <w:rPr>
                <w:sz w:val="22"/>
                <w:szCs w:val="22"/>
              </w:rPr>
              <w:t xml:space="preserve"> społeczne, </w:t>
            </w:r>
            <w:proofErr w:type="spellStart"/>
            <w:r w:rsidRPr="00EE1592">
              <w:rPr>
                <w:sz w:val="22"/>
                <w:szCs w:val="22"/>
              </w:rPr>
              <w:t>wzrost</w:t>
            </w:r>
            <w:proofErr w:type="spellEnd"/>
            <w:r w:rsidRPr="00EE1592">
              <w:rPr>
                <w:sz w:val="22"/>
                <w:szCs w:val="22"/>
              </w:rPr>
              <w:t xml:space="preserve"> integracji oraz zwiększenie aktywności społecznej mieszkańców. Natomiast projekty </w:t>
            </w:r>
            <w:proofErr w:type="spellStart"/>
            <w:r w:rsidRPr="00EE1592">
              <w:rPr>
                <w:sz w:val="22"/>
                <w:szCs w:val="22"/>
              </w:rPr>
              <w:t>powiązane</w:t>
            </w:r>
            <w:proofErr w:type="spellEnd"/>
            <w:r w:rsidRPr="00EE1592">
              <w:rPr>
                <w:sz w:val="22"/>
                <w:szCs w:val="22"/>
              </w:rPr>
              <w:t xml:space="preserve"> finansowane z EFS wpływały w największym stopniu na zwiększenie aktywności społecznej oraz </w:t>
            </w:r>
            <w:proofErr w:type="spellStart"/>
            <w:r w:rsidRPr="00EE1592">
              <w:rPr>
                <w:sz w:val="22"/>
                <w:szCs w:val="22"/>
              </w:rPr>
              <w:t>zawodowej</w:t>
            </w:r>
            <w:proofErr w:type="spellEnd"/>
            <w:r w:rsidRPr="00EE1592">
              <w:rPr>
                <w:sz w:val="22"/>
                <w:szCs w:val="22"/>
              </w:rPr>
              <w:t xml:space="preserve"> uczestników, a także zwiększenie możliwość </w:t>
            </w:r>
            <w:proofErr w:type="spellStart"/>
            <w:r w:rsidRPr="00EE1592">
              <w:rPr>
                <w:sz w:val="22"/>
                <w:szCs w:val="22"/>
              </w:rPr>
              <w:t>zatrudnienia</w:t>
            </w:r>
            <w:proofErr w:type="spellEnd"/>
            <w:r w:rsidRPr="00EE1592">
              <w:rPr>
                <w:sz w:val="22"/>
                <w:szCs w:val="22"/>
              </w:rPr>
              <w:t xml:space="preserve"> osób </w:t>
            </w:r>
            <w:proofErr w:type="spellStart"/>
            <w:r w:rsidRPr="00EE1592">
              <w:rPr>
                <w:sz w:val="22"/>
                <w:szCs w:val="22"/>
              </w:rPr>
              <w:t>pozostających</w:t>
            </w:r>
            <w:proofErr w:type="spellEnd"/>
            <w:r w:rsidRPr="00EE1592">
              <w:rPr>
                <w:sz w:val="22"/>
                <w:szCs w:val="22"/>
              </w:rPr>
              <w:t xml:space="preserve"> bez pracy. W </w:t>
            </w:r>
            <w:r w:rsidRPr="00EE1592">
              <w:rPr>
                <w:sz w:val="22"/>
                <w:szCs w:val="22"/>
              </w:rPr>
              <w:lastRenderedPageBreak/>
              <w:t xml:space="preserve">przypadku </w:t>
            </w:r>
            <w:proofErr w:type="spellStart"/>
            <w:r w:rsidRPr="00EE1592">
              <w:rPr>
                <w:sz w:val="22"/>
                <w:szCs w:val="22"/>
              </w:rPr>
              <w:t>niezakończonych</w:t>
            </w:r>
            <w:proofErr w:type="spellEnd"/>
            <w:r w:rsidRPr="00EE1592">
              <w:rPr>
                <w:sz w:val="22"/>
                <w:szCs w:val="22"/>
              </w:rPr>
              <w:t xml:space="preserve"> </w:t>
            </w:r>
            <w:proofErr w:type="spellStart"/>
            <w:r w:rsidRPr="00EE1592">
              <w:rPr>
                <w:sz w:val="22"/>
                <w:szCs w:val="22"/>
              </w:rPr>
              <w:t>jeszcze</w:t>
            </w:r>
            <w:proofErr w:type="spellEnd"/>
            <w:r w:rsidRPr="00EE1592">
              <w:rPr>
                <w:sz w:val="22"/>
                <w:szCs w:val="22"/>
              </w:rPr>
              <w:t xml:space="preserve"> projektów powiązanych </w:t>
            </w:r>
            <w:proofErr w:type="spellStart"/>
            <w:r w:rsidRPr="00EE1592">
              <w:rPr>
                <w:sz w:val="22"/>
                <w:szCs w:val="22"/>
              </w:rPr>
              <w:t>planuje</w:t>
            </w:r>
            <w:proofErr w:type="spellEnd"/>
            <w:r w:rsidRPr="00EE1592">
              <w:rPr>
                <w:sz w:val="22"/>
                <w:szCs w:val="22"/>
              </w:rPr>
              <w:t xml:space="preserve"> </w:t>
            </w:r>
            <w:proofErr w:type="spellStart"/>
            <w:r w:rsidRPr="00EE1592">
              <w:rPr>
                <w:sz w:val="22"/>
                <w:szCs w:val="22"/>
              </w:rPr>
              <w:t>się</w:t>
            </w:r>
            <w:proofErr w:type="spellEnd"/>
            <w:r w:rsidRPr="00EE1592">
              <w:rPr>
                <w:sz w:val="22"/>
                <w:szCs w:val="22"/>
              </w:rPr>
              <w:t xml:space="preserve">, że będą one w największym stopniu </w:t>
            </w:r>
            <w:proofErr w:type="spellStart"/>
            <w:r w:rsidRPr="00EE1592">
              <w:rPr>
                <w:sz w:val="22"/>
                <w:szCs w:val="22"/>
              </w:rPr>
              <w:t>zwiększać</w:t>
            </w:r>
            <w:proofErr w:type="spellEnd"/>
            <w:r w:rsidRPr="00EE1592">
              <w:rPr>
                <w:sz w:val="22"/>
                <w:szCs w:val="22"/>
              </w:rPr>
              <w:t xml:space="preserve"> </w:t>
            </w:r>
            <w:proofErr w:type="spellStart"/>
            <w:r w:rsidRPr="00EE1592">
              <w:rPr>
                <w:sz w:val="22"/>
                <w:szCs w:val="22"/>
              </w:rPr>
              <w:t>dostępność</w:t>
            </w:r>
            <w:proofErr w:type="spellEnd"/>
            <w:r w:rsidRPr="00EE1592">
              <w:rPr>
                <w:sz w:val="22"/>
                <w:szCs w:val="22"/>
              </w:rPr>
              <w:t xml:space="preserve"> do </w:t>
            </w:r>
            <w:proofErr w:type="spellStart"/>
            <w:r w:rsidRPr="00EE1592">
              <w:rPr>
                <w:sz w:val="22"/>
                <w:szCs w:val="22"/>
              </w:rPr>
              <w:t>usług</w:t>
            </w:r>
            <w:proofErr w:type="spellEnd"/>
            <w:r w:rsidRPr="00EE1592">
              <w:rPr>
                <w:sz w:val="22"/>
                <w:szCs w:val="22"/>
              </w:rPr>
              <w:t xml:space="preserve"> wsparcia </w:t>
            </w:r>
            <w:proofErr w:type="spellStart"/>
            <w:r w:rsidRPr="00EE1592">
              <w:rPr>
                <w:sz w:val="22"/>
                <w:szCs w:val="22"/>
              </w:rPr>
              <w:t>rodziny</w:t>
            </w:r>
            <w:proofErr w:type="spellEnd"/>
            <w:r w:rsidRPr="00EE1592">
              <w:rPr>
                <w:sz w:val="22"/>
                <w:szCs w:val="22"/>
              </w:rPr>
              <w:t xml:space="preserve"> i </w:t>
            </w:r>
            <w:proofErr w:type="spellStart"/>
            <w:r w:rsidRPr="00EE1592">
              <w:rPr>
                <w:sz w:val="22"/>
                <w:szCs w:val="22"/>
              </w:rPr>
              <w:t>pieczy</w:t>
            </w:r>
            <w:proofErr w:type="spellEnd"/>
            <w:r w:rsidRPr="00EE1592">
              <w:rPr>
                <w:sz w:val="22"/>
                <w:szCs w:val="22"/>
              </w:rPr>
              <w:t xml:space="preserve"> </w:t>
            </w:r>
            <w:proofErr w:type="spellStart"/>
            <w:r w:rsidRPr="00EE1592">
              <w:rPr>
                <w:sz w:val="22"/>
                <w:szCs w:val="22"/>
              </w:rPr>
              <w:t>zastępczej</w:t>
            </w:r>
            <w:proofErr w:type="spellEnd"/>
            <w:r w:rsidRPr="00EE1592">
              <w:rPr>
                <w:sz w:val="22"/>
                <w:szCs w:val="22"/>
              </w:rPr>
              <w:t>.</w:t>
            </w:r>
          </w:p>
          <w:p w14:paraId="3E1B3CD0" w14:textId="50323FA6" w:rsidR="005F1D7B" w:rsidRPr="00EE1592" w:rsidRDefault="00EE1592" w:rsidP="00EE1592">
            <w:pPr>
              <w:spacing w:before="120" w:after="120"/>
              <w:ind w:right="113"/>
              <w:rPr>
                <w:rFonts w:cstheme="minorHAnsi"/>
                <w:sz w:val="22"/>
                <w:szCs w:val="22"/>
                <w:lang w:val="pl-PL" w:eastAsia="pl-PL"/>
              </w:rPr>
            </w:pPr>
            <w:r w:rsidRPr="00EE1592">
              <w:rPr>
                <w:sz w:val="22"/>
                <w:szCs w:val="22"/>
              </w:rPr>
              <w:t xml:space="preserve">W trakcie realizacji badania zidentyfikowano </w:t>
            </w:r>
            <w:proofErr w:type="spellStart"/>
            <w:r w:rsidRPr="00EE1592">
              <w:rPr>
                <w:sz w:val="22"/>
                <w:szCs w:val="22"/>
              </w:rPr>
              <w:t>pojawienie</w:t>
            </w:r>
            <w:proofErr w:type="spellEnd"/>
            <w:r w:rsidRPr="00EE1592">
              <w:rPr>
                <w:sz w:val="22"/>
                <w:szCs w:val="22"/>
              </w:rPr>
              <w:t xml:space="preserve"> </w:t>
            </w:r>
            <w:proofErr w:type="spellStart"/>
            <w:r w:rsidRPr="00EE1592">
              <w:rPr>
                <w:sz w:val="22"/>
                <w:szCs w:val="22"/>
              </w:rPr>
              <w:t>się</w:t>
            </w:r>
            <w:proofErr w:type="spellEnd"/>
            <w:r w:rsidRPr="00EE1592">
              <w:rPr>
                <w:sz w:val="22"/>
                <w:szCs w:val="22"/>
              </w:rPr>
              <w:t xml:space="preserve"> </w:t>
            </w:r>
            <w:proofErr w:type="spellStart"/>
            <w:r w:rsidRPr="00EE1592">
              <w:rPr>
                <w:sz w:val="22"/>
                <w:szCs w:val="22"/>
              </w:rPr>
              <w:t>pozytywnych</w:t>
            </w:r>
            <w:proofErr w:type="spellEnd"/>
            <w:r w:rsidRPr="00EE1592">
              <w:rPr>
                <w:sz w:val="22"/>
                <w:szCs w:val="22"/>
              </w:rPr>
              <w:t xml:space="preserve"> </w:t>
            </w:r>
            <w:proofErr w:type="spellStart"/>
            <w:r w:rsidRPr="00EE1592">
              <w:rPr>
                <w:sz w:val="22"/>
                <w:szCs w:val="22"/>
              </w:rPr>
              <w:t>nieplanowanych</w:t>
            </w:r>
            <w:proofErr w:type="spellEnd"/>
            <w:r w:rsidRPr="00EE1592">
              <w:rPr>
                <w:sz w:val="22"/>
                <w:szCs w:val="22"/>
              </w:rPr>
              <w:t xml:space="preserve"> </w:t>
            </w:r>
            <w:proofErr w:type="spellStart"/>
            <w:r w:rsidRPr="00EE1592">
              <w:rPr>
                <w:sz w:val="22"/>
                <w:szCs w:val="22"/>
              </w:rPr>
              <w:t>efektów</w:t>
            </w:r>
            <w:proofErr w:type="spellEnd"/>
            <w:r w:rsidRPr="00EE1592">
              <w:rPr>
                <w:sz w:val="22"/>
                <w:szCs w:val="22"/>
              </w:rPr>
              <w:t xml:space="preserve"> wynikających z realizacji prowadzonych projektów. Projekty rewitalizacyjne, </w:t>
            </w:r>
            <w:proofErr w:type="spellStart"/>
            <w:r w:rsidRPr="00EE1592">
              <w:rPr>
                <w:sz w:val="22"/>
                <w:szCs w:val="22"/>
              </w:rPr>
              <w:t>oprócz</w:t>
            </w:r>
            <w:proofErr w:type="spellEnd"/>
            <w:r w:rsidRPr="00EE1592">
              <w:rPr>
                <w:sz w:val="22"/>
                <w:szCs w:val="22"/>
              </w:rPr>
              <w:t xml:space="preserve"> </w:t>
            </w:r>
            <w:proofErr w:type="spellStart"/>
            <w:r w:rsidRPr="00EE1592">
              <w:rPr>
                <w:sz w:val="22"/>
                <w:szCs w:val="22"/>
              </w:rPr>
              <w:t>zaplanowanych</w:t>
            </w:r>
            <w:proofErr w:type="spellEnd"/>
            <w:r w:rsidRPr="00EE1592">
              <w:rPr>
                <w:sz w:val="22"/>
                <w:szCs w:val="22"/>
              </w:rPr>
              <w:t xml:space="preserve"> </w:t>
            </w:r>
            <w:proofErr w:type="spellStart"/>
            <w:r w:rsidRPr="00EE1592">
              <w:rPr>
                <w:sz w:val="22"/>
                <w:szCs w:val="22"/>
              </w:rPr>
              <w:t>efektów</w:t>
            </w:r>
            <w:proofErr w:type="spellEnd"/>
            <w:r w:rsidRPr="00EE1592">
              <w:rPr>
                <w:sz w:val="22"/>
                <w:szCs w:val="22"/>
              </w:rPr>
              <w:t xml:space="preserve">, w największym stopniu </w:t>
            </w:r>
            <w:proofErr w:type="spellStart"/>
            <w:r w:rsidRPr="00EE1592">
              <w:rPr>
                <w:sz w:val="22"/>
                <w:szCs w:val="22"/>
              </w:rPr>
              <w:t>zwiększały</w:t>
            </w:r>
            <w:proofErr w:type="spellEnd"/>
            <w:r w:rsidRPr="00EE1592">
              <w:rPr>
                <w:sz w:val="22"/>
                <w:szCs w:val="22"/>
              </w:rPr>
              <w:t xml:space="preserve"> poziom </w:t>
            </w:r>
            <w:proofErr w:type="spellStart"/>
            <w:r w:rsidRPr="00EE1592">
              <w:rPr>
                <w:sz w:val="22"/>
                <w:szCs w:val="22"/>
              </w:rPr>
              <w:t>dbałości</w:t>
            </w:r>
            <w:proofErr w:type="spellEnd"/>
            <w:r w:rsidRPr="00EE1592">
              <w:rPr>
                <w:sz w:val="22"/>
                <w:szCs w:val="22"/>
              </w:rPr>
              <w:t xml:space="preserve"> o </w:t>
            </w:r>
            <w:proofErr w:type="spellStart"/>
            <w:r w:rsidRPr="00EE1592">
              <w:rPr>
                <w:sz w:val="22"/>
                <w:szCs w:val="22"/>
              </w:rPr>
              <w:t>wspólną</w:t>
            </w:r>
            <w:proofErr w:type="spellEnd"/>
            <w:r w:rsidRPr="00EE1592">
              <w:rPr>
                <w:sz w:val="22"/>
                <w:szCs w:val="22"/>
              </w:rPr>
              <w:t xml:space="preserve"> </w:t>
            </w:r>
            <w:proofErr w:type="spellStart"/>
            <w:r w:rsidRPr="00EE1592">
              <w:rPr>
                <w:sz w:val="22"/>
                <w:szCs w:val="22"/>
              </w:rPr>
              <w:t>przestrzeń</w:t>
            </w:r>
            <w:proofErr w:type="spellEnd"/>
            <w:r w:rsidRPr="00EE1592">
              <w:rPr>
                <w:sz w:val="22"/>
                <w:szCs w:val="22"/>
              </w:rPr>
              <w:t xml:space="preserve"> przez </w:t>
            </w:r>
            <w:proofErr w:type="spellStart"/>
            <w:r w:rsidRPr="00EE1592">
              <w:rPr>
                <w:sz w:val="22"/>
                <w:szCs w:val="22"/>
              </w:rPr>
              <w:t>użytkowników</w:t>
            </w:r>
            <w:proofErr w:type="spellEnd"/>
            <w:r w:rsidRPr="00EE1592">
              <w:rPr>
                <w:sz w:val="22"/>
                <w:szCs w:val="22"/>
              </w:rPr>
              <w:t xml:space="preserve"> </w:t>
            </w:r>
            <w:proofErr w:type="spellStart"/>
            <w:r w:rsidRPr="00EE1592">
              <w:rPr>
                <w:sz w:val="22"/>
                <w:szCs w:val="22"/>
              </w:rPr>
              <w:t>powstałej</w:t>
            </w:r>
            <w:proofErr w:type="spellEnd"/>
            <w:r w:rsidRPr="00EE1592">
              <w:rPr>
                <w:sz w:val="22"/>
                <w:szCs w:val="22"/>
              </w:rPr>
              <w:t xml:space="preserve"> w ramach prowadzonych inwestycji infrastruktury. W dużej </w:t>
            </w:r>
            <w:proofErr w:type="spellStart"/>
            <w:r w:rsidRPr="00EE1592">
              <w:rPr>
                <w:sz w:val="22"/>
                <w:szCs w:val="22"/>
              </w:rPr>
              <w:t>liczbie</w:t>
            </w:r>
            <w:proofErr w:type="spellEnd"/>
            <w:r w:rsidRPr="00EE1592">
              <w:rPr>
                <w:sz w:val="22"/>
                <w:szCs w:val="22"/>
              </w:rPr>
              <w:t xml:space="preserve"> gmin </w:t>
            </w:r>
            <w:proofErr w:type="spellStart"/>
            <w:r w:rsidRPr="00EE1592">
              <w:rPr>
                <w:sz w:val="22"/>
                <w:szCs w:val="22"/>
              </w:rPr>
              <w:t>zaobserwowano</w:t>
            </w:r>
            <w:proofErr w:type="spellEnd"/>
            <w:r w:rsidRPr="00EE1592">
              <w:rPr>
                <w:sz w:val="22"/>
                <w:szCs w:val="22"/>
              </w:rPr>
              <w:t xml:space="preserve"> także, że </w:t>
            </w:r>
            <w:proofErr w:type="spellStart"/>
            <w:r w:rsidRPr="00EE1592">
              <w:rPr>
                <w:sz w:val="22"/>
                <w:szCs w:val="22"/>
              </w:rPr>
              <w:t>powstała</w:t>
            </w:r>
            <w:proofErr w:type="spellEnd"/>
            <w:r w:rsidRPr="00EE1592">
              <w:rPr>
                <w:sz w:val="22"/>
                <w:szCs w:val="22"/>
              </w:rPr>
              <w:t xml:space="preserve"> w wyniku realizowanych projektów rewitalizacyjnych </w:t>
            </w:r>
            <w:proofErr w:type="spellStart"/>
            <w:r w:rsidRPr="00EE1592">
              <w:rPr>
                <w:sz w:val="22"/>
                <w:szCs w:val="22"/>
              </w:rPr>
              <w:t>infrastruktura</w:t>
            </w:r>
            <w:proofErr w:type="spellEnd"/>
            <w:r w:rsidRPr="00EE1592">
              <w:rPr>
                <w:sz w:val="22"/>
                <w:szCs w:val="22"/>
              </w:rPr>
              <w:t xml:space="preserve"> może być </w:t>
            </w:r>
            <w:proofErr w:type="spellStart"/>
            <w:r w:rsidRPr="00EE1592">
              <w:rPr>
                <w:sz w:val="22"/>
                <w:szCs w:val="22"/>
              </w:rPr>
              <w:t>wykorzystywana</w:t>
            </w:r>
            <w:proofErr w:type="spellEnd"/>
            <w:r w:rsidRPr="00EE1592">
              <w:rPr>
                <w:sz w:val="22"/>
                <w:szCs w:val="22"/>
              </w:rPr>
              <w:t xml:space="preserve"> do realizacji na jej terenie </w:t>
            </w:r>
            <w:proofErr w:type="spellStart"/>
            <w:r w:rsidRPr="00EE1592">
              <w:rPr>
                <w:sz w:val="22"/>
                <w:szCs w:val="22"/>
              </w:rPr>
              <w:t>wydarzeń</w:t>
            </w:r>
            <w:proofErr w:type="spellEnd"/>
            <w:r w:rsidRPr="00EE1592">
              <w:rPr>
                <w:sz w:val="22"/>
                <w:szCs w:val="22"/>
              </w:rPr>
              <w:t xml:space="preserve"> </w:t>
            </w:r>
            <w:proofErr w:type="spellStart"/>
            <w:r w:rsidRPr="00EE1592">
              <w:rPr>
                <w:sz w:val="22"/>
                <w:szCs w:val="22"/>
              </w:rPr>
              <w:t>kulturalnych</w:t>
            </w:r>
            <w:proofErr w:type="spellEnd"/>
            <w:r w:rsidR="00F044DA">
              <w:rPr>
                <w:sz w:val="22"/>
                <w:szCs w:val="22"/>
              </w:rPr>
              <w:t xml:space="preserve"> oraz</w:t>
            </w:r>
            <w:r w:rsidRPr="00EE1592">
              <w:rPr>
                <w:sz w:val="22"/>
                <w:szCs w:val="22"/>
              </w:rPr>
              <w:t xml:space="preserve"> </w:t>
            </w:r>
            <w:proofErr w:type="spellStart"/>
            <w:r w:rsidRPr="00EE1592">
              <w:rPr>
                <w:sz w:val="22"/>
                <w:szCs w:val="22"/>
              </w:rPr>
              <w:t>rozrywkowych</w:t>
            </w:r>
            <w:proofErr w:type="spellEnd"/>
            <w:r w:rsidRPr="00EE1592">
              <w:rPr>
                <w:sz w:val="22"/>
                <w:szCs w:val="22"/>
              </w:rPr>
              <w:t xml:space="preserve">, </w:t>
            </w:r>
            <w:proofErr w:type="spellStart"/>
            <w:r w:rsidR="00F044DA">
              <w:rPr>
                <w:sz w:val="22"/>
                <w:szCs w:val="22"/>
              </w:rPr>
              <w:t>pomimo</w:t>
            </w:r>
            <w:proofErr w:type="spellEnd"/>
            <w:r w:rsidR="00F044DA">
              <w:rPr>
                <w:sz w:val="22"/>
                <w:szCs w:val="22"/>
              </w:rPr>
              <w:t xml:space="preserve"> iż</w:t>
            </w:r>
            <w:r w:rsidRPr="00EE1592">
              <w:rPr>
                <w:sz w:val="22"/>
                <w:szCs w:val="22"/>
              </w:rPr>
              <w:t xml:space="preserve"> </w:t>
            </w:r>
            <w:proofErr w:type="spellStart"/>
            <w:r w:rsidRPr="00EE1592">
              <w:rPr>
                <w:sz w:val="22"/>
                <w:szCs w:val="22"/>
              </w:rPr>
              <w:t>nie</w:t>
            </w:r>
            <w:proofErr w:type="spellEnd"/>
            <w:r w:rsidRPr="00EE1592">
              <w:rPr>
                <w:sz w:val="22"/>
                <w:szCs w:val="22"/>
              </w:rPr>
              <w:t xml:space="preserve"> </w:t>
            </w:r>
            <w:proofErr w:type="spellStart"/>
            <w:r w:rsidRPr="00EE1592">
              <w:rPr>
                <w:sz w:val="22"/>
                <w:szCs w:val="22"/>
              </w:rPr>
              <w:t>było</w:t>
            </w:r>
            <w:proofErr w:type="spellEnd"/>
            <w:r w:rsidRPr="00EE1592">
              <w:rPr>
                <w:sz w:val="22"/>
                <w:szCs w:val="22"/>
              </w:rPr>
              <w:t xml:space="preserve"> to wpisane w cele </w:t>
            </w:r>
            <w:proofErr w:type="spellStart"/>
            <w:r w:rsidRPr="00EE1592">
              <w:rPr>
                <w:sz w:val="22"/>
                <w:szCs w:val="22"/>
              </w:rPr>
              <w:t>projektowe</w:t>
            </w:r>
            <w:proofErr w:type="spellEnd"/>
            <w:r w:rsidRPr="00EE1592">
              <w:rPr>
                <w:sz w:val="22"/>
                <w:szCs w:val="22"/>
              </w:rPr>
              <w:t xml:space="preserve"> </w:t>
            </w:r>
            <w:r w:rsidR="00D23935" w:rsidRPr="00EE1592">
              <w:rPr>
                <w:rFonts w:cstheme="minorHAnsi"/>
                <w:sz w:val="22"/>
                <w:szCs w:val="22"/>
                <w:lang w:val="pl-PL" w:eastAsia="pl-PL"/>
              </w:rPr>
              <w:t>(więcej w rozdz. 3.3).</w:t>
            </w:r>
          </w:p>
        </w:tc>
      </w:tr>
      <w:tr w:rsidR="005F1D7B" w:rsidRPr="00F93848" w14:paraId="0DE41AB3" w14:textId="77777777" w:rsidTr="00F938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625" w:type="pct"/>
            <w:vAlign w:val="top"/>
          </w:tcPr>
          <w:p w14:paraId="26A5A129" w14:textId="31D30400" w:rsidR="005F1D7B" w:rsidRPr="002B79F5" w:rsidRDefault="005F1D7B" w:rsidP="005F1D7B">
            <w:pPr>
              <w:pStyle w:val="Default"/>
              <w:spacing w:after="78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2B79F5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 xml:space="preserve">4. Czy, a jeśli tak to w jakim stopniu interwencja była odpowiedzią na zdiagnozowane problemy rozwojowe obszarów rewitalizowanych oraz przyczyniła się do zaspokojenia potrzeb grup docelowych? </w:t>
            </w:r>
          </w:p>
        </w:tc>
        <w:tc>
          <w:tcPr>
            <w:tcW w:w="3375" w:type="pct"/>
            <w:vAlign w:val="top"/>
          </w:tcPr>
          <w:p w14:paraId="18091233" w14:textId="32C09966" w:rsidR="005F1D7B" w:rsidRPr="002B79F5" w:rsidRDefault="005F1D7B" w:rsidP="005F1D7B">
            <w:pPr>
              <w:spacing w:before="120" w:after="120"/>
              <w:ind w:left="113" w:right="113"/>
              <w:rPr>
                <w:rFonts w:cstheme="minorHAnsi"/>
                <w:sz w:val="22"/>
                <w:szCs w:val="22"/>
                <w:lang w:val="pl-PL" w:eastAsia="pl-PL"/>
              </w:rPr>
            </w:pP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Przeprowadzone analizy wskazują, iż wsparcie oferowane w ramach interwencji dotyczącej rewitalizacji, zarówno w ramach głównej interwencji z Działania 6.3 i 6.5, jak również w ramach projektów powiązanych i uzupełniających, z uwagi na dość szeroki katalog możliwych działań, odpowiadało na główne problemy rozwojowe zdiagnozowane w programach rewitalizacji. Wsparcie w znacznym stopniu odpowiadało także na potrzeby grup docelowych. Analizy badań ilościowych oraz przeprowadzone studia przypadku wskazują, iż interwencja RPO WP 2014-2020 przyczyniła się do zniwelowania przynajmniej części problemów rozwojowych gmin, w których realizowane były/są projekty rewitalizacyjne. Widoczne jest to zwłaszcza w przypadku problemów związanych z brakiem określonego rodzaju obiektu czy funkcji, dla zaspokojenia których podjęto działania polegające na utworzeniu czy zmodernizowaniu konkretnego obiektu czy przestrzeni. Trudno jednak mówić o całkowitej eliminacji danego problemu, zważywszy na fakt, iż część projektów nie została jeszcze zakończona, a (z)realizowane projekty stanowiły jedynie część przedsięwzięć zawartych w programach rewitalizacji. W przypadku problemów o charakterze mniej „materialnym”, takich jak niski poziom zaangażowania i integracji społecznej czy niski poziom bezpieczeństwa, wpływ przedsięwzięć na sytuację w gminie nie jest tak bardzo wyraźny, a całościowe efekty interwencji widoczne będą w dłuższej perspektywie. </w:t>
            </w:r>
          </w:p>
          <w:p w14:paraId="51719814" w14:textId="53A61301" w:rsidR="005F1D7B" w:rsidRPr="002B79F5" w:rsidRDefault="005F1D7B" w:rsidP="005F1D7B">
            <w:pPr>
              <w:spacing w:before="120" w:after="120"/>
              <w:ind w:left="113" w:right="113"/>
              <w:rPr>
                <w:rFonts w:cstheme="minorHAnsi"/>
                <w:sz w:val="22"/>
                <w:szCs w:val="22"/>
                <w:lang w:val="pl-PL" w:eastAsia="pl-PL"/>
              </w:rPr>
            </w:pPr>
            <w:bookmarkStart w:id="2" w:name="_Hlk141624092"/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lastRenderedPageBreak/>
              <w:t xml:space="preserve">Badanie wykazało, że wsparcie RPO WP 2014-2020 było bardzo istotne dla realizacji procesu rewitalizacji w gminach. Pokazują to przeprowadzone wywiady, wyniki badania ilościowego z JST oraz wyniki ankiety prowadzonej przez UMWP, według której 68% (z)realizowanych projektów finansowane było ze środków Programu (stan na 2021 r.) </w:t>
            </w:r>
            <w:bookmarkEnd w:id="2"/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(więcej w rozdz. </w:t>
            </w:r>
            <w:r w:rsidR="00D23935">
              <w:rPr>
                <w:rFonts w:cstheme="minorHAnsi"/>
                <w:sz w:val="22"/>
                <w:szCs w:val="22"/>
                <w:lang w:val="pl-PL" w:eastAsia="pl-PL"/>
              </w:rPr>
              <w:t>3.4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>).</w:t>
            </w:r>
          </w:p>
        </w:tc>
      </w:tr>
      <w:tr w:rsidR="005F1D7B" w:rsidRPr="00F93848" w14:paraId="770CD2E5" w14:textId="77777777" w:rsidTr="00F9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625" w:type="pct"/>
            <w:vAlign w:val="top"/>
          </w:tcPr>
          <w:p w14:paraId="02E0F9EE" w14:textId="34F36CA2" w:rsidR="005F1D7B" w:rsidRPr="002B79F5" w:rsidRDefault="005F1D7B" w:rsidP="005F1D7B">
            <w:pPr>
              <w:pStyle w:val="Default"/>
              <w:spacing w:after="78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2B79F5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 xml:space="preserve">5. Czy, a jeżeli tak, to w jaki sposób sytuacja na obszarach zdegradowanych poddanych procesom rewitalizacyjnym poprawiła się w porównaniu do sytuacji w poszczególnych miejscowościach lub porównywalnych miejscowości, które nie zostały objęte wsparciem w ramach RPO WP 2014-2020? </w:t>
            </w:r>
          </w:p>
        </w:tc>
        <w:tc>
          <w:tcPr>
            <w:tcW w:w="3375" w:type="pct"/>
            <w:vAlign w:val="top"/>
          </w:tcPr>
          <w:p w14:paraId="662AEA7B" w14:textId="295B4386" w:rsidR="005F1D7B" w:rsidRPr="002B79F5" w:rsidRDefault="005F1D7B" w:rsidP="005F1D7B">
            <w:pPr>
              <w:spacing w:before="120" w:after="120"/>
              <w:ind w:left="113" w:right="113"/>
              <w:rPr>
                <w:rFonts w:cstheme="minorHAnsi"/>
                <w:sz w:val="22"/>
                <w:szCs w:val="22"/>
                <w:lang w:val="pl-PL" w:eastAsia="pl-PL"/>
              </w:rPr>
            </w:pP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Sytuacja na obszarach zdegradowanych poddanych rewitalizacji uległa zdecydowanej poprawie, choć nie zawsze możliwe było osiągnięcie stanu pożądanego, jakim jest dorównanie, poprzez odpowiednie wskaźniki, sytuacji panującej na obszarze miasta/gminy ogółem. Trudności z określeniem wymiernych zmian są związane przede wszystkim z brakiem rzetelnego monitorowania postępów w realizacji programów rewitalizacji przez gminy. Raporty z monitoringu przygotowuje zaledwie 56% gmin, choć w praktyce często nie stanowią one bezpośredniego odniesienia do wskaźników zawartych w Diagnozie mającej na celu wyznaczenie obszaru zdegradowanego i obszaru rewitalizacji, co uniemożliwia faktyczną weryfikację poprawy sytuacji na obszarze rewitalizowanym w stosunku do średniej </w:t>
            </w:r>
            <w:proofErr w:type="spellStart"/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>ogólnomiejskiej</w:t>
            </w:r>
            <w:proofErr w:type="spellEnd"/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>/</w:t>
            </w:r>
            <w:proofErr w:type="spellStart"/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>ogólnogminnej</w:t>
            </w:r>
            <w:proofErr w:type="spellEnd"/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>.</w:t>
            </w:r>
          </w:p>
          <w:p w14:paraId="67FD2F4F" w14:textId="21C9AC95" w:rsidR="005F1D7B" w:rsidRPr="002B79F5" w:rsidRDefault="005F1D7B" w:rsidP="005F1D7B">
            <w:pPr>
              <w:spacing w:before="120" w:after="120"/>
              <w:ind w:left="113" w:right="113"/>
              <w:rPr>
                <w:rFonts w:cstheme="minorHAnsi"/>
                <w:sz w:val="22"/>
                <w:szCs w:val="22"/>
                <w:lang w:val="pl-PL" w:eastAsia="pl-PL"/>
              </w:rPr>
            </w:pP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>Z uwagi na ciągłość procesów rewitalizacji, trudno mówić o osiągnięciu stanu docelowego na obszarach rewitalizacji w perspektywie kilkuletniej, choć z badania wynika, że korzystne zmiany w odniesieniu do sytuacji w mieście/gminie są dostrzegane zarówno przez przedstawicieli urzędów gmin, jak i przez mieszkańców. Mają one głównie charakter wizualny, związany z poprawą sposobu zagospodarowania przestrzeni, co sprzyja ogólnemu ożywieniu obszaru i korzystaniu z efektów projektów również przez pozostałych mieszkańców miasta/gminy. Co istotne, widoczna jest także większa aktywność społeczna mieszkańców oraz rozwój przedsiębiorczości (więcej w rozdz. 3.5).</w:t>
            </w:r>
          </w:p>
        </w:tc>
      </w:tr>
      <w:tr w:rsidR="005F1D7B" w:rsidRPr="00F93848" w14:paraId="4FE2F7C1" w14:textId="77777777" w:rsidTr="00F938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625" w:type="pct"/>
            <w:vAlign w:val="top"/>
          </w:tcPr>
          <w:p w14:paraId="42039C4B" w14:textId="44629EEC" w:rsidR="005F1D7B" w:rsidRPr="002B79F5" w:rsidRDefault="005F1D7B" w:rsidP="005F1D7B">
            <w:pPr>
              <w:pStyle w:val="Default"/>
              <w:spacing w:after="78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2B79F5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6. W jakim stopniu uzyskane dotychczas efekty wsparcia można uznać za trwałe? Jakie czynniki wpływają (pozytywnie i negatywnie) na utrzymanie trwałości efektów projektów? </w:t>
            </w:r>
          </w:p>
        </w:tc>
        <w:tc>
          <w:tcPr>
            <w:tcW w:w="3375" w:type="pct"/>
            <w:vAlign w:val="top"/>
          </w:tcPr>
          <w:p w14:paraId="62C237C9" w14:textId="5D418B03" w:rsidR="005F1D7B" w:rsidRPr="002B79F5" w:rsidRDefault="00BF4B02" w:rsidP="005F1D7B">
            <w:pPr>
              <w:spacing w:before="120" w:after="120"/>
              <w:ind w:left="113" w:right="113"/>
              <w:rPr>
                <w:rFonts w:cstheme="minorHAnsi"/>
                <w:sz w:val="22"/>
                <w:szCs w:val="22"/>
                <w:lang w:val="pl-PL" w:eastAsia="pl-PL"/>
              </w:rPr>
            </w:pPr>
            <w:r>
              <w:rPr>
                <w:rFonts w:cstheme="minorHAnsi"/>
                <w:sz w:val="22"/>
                <w:szCs w:val="22"/>
                <w:lang w:val="pl-PL" w:eastAsia="pl-PL"/>
              </w:rPr>
              <w:t xml:space="preserve">W zdecydowanej większości projektów nie napotkano na trudności z utrzymaniem trwałości lub nie przewiduje się ich w przyszłości. Trwałość efektów projektów prognozuje się na różną perspektywę czasową (w </w:t>
            </w:r>
            <w:r w:rsidR="00F044DA">
              <w:rPr>
                <w:rFonts w:cstheme="minorHAnsi"/>
                <w:sz w:val="22"/>
                <w:szCs w:val="22"/>
                <w:lang w:val="pl-PL" w:eastAsia="pl-PL"/>
              </w:rPr>
              <w:t xml:space="preserve">większości </w:t>
            </w:r>
            <w:r>
              <w:rPr>
                <w:rFonts w:cstheme="minorHAnsi"/>
                <w:sz w:val="22"/>
                <w:szCs w:val="22"/>
                <w:lang w:val="pl-PL" w:eastAsia="pl-PL"/>
              </w:rPr>
              <w:t>przypadk</w:t>
            </w:r>
            <w:r w:rsidR="00F044DA">
              <w:rPr>
                <w:rFonts w:cstheme="minorHAnsi"/>
                <w:sz w:val="22"/>
                <w:szCs w:val="22"/>
                <w:lang w:val="pl-PL" w:eastAsia="pl-PL"/>
              </w:rPr>
              <w:t>ów</w:t>
            </w:r>
            <w:r>
              <w:rPr>
                <w:rFonts w:cstheme="minorHAnsi"/>
                <w:sz w:val="22"/>
                <w:szCs w:val="22"/>
                <w:lang w:val="pl-PL" w:eastAsia="pl-PL"/>
              </w:rPr>
              <w:t xml:space="preserve"> wynoszącą więcej niż 5 lat). Do pozytywnych czynników wpływających na trwałość zaliczyć można duże zainteresowanie mieszkańców, współpracę różnych instytucji oraz kontynuację </w:t>
            </w:r>
            <w:r>
              <w:rPr>
                <w:rFonts w:cstheme="minorHAnsi"/>
                <w:sz w:val="22"/>
                <w:szCs w:val="22"/>
                <w:lang w:val="pl-PL" w:eastAsia="pl-PL"/>
              </w:rPr>
              <w:lastRenderedPageBreak/>
              <w:t>działań (finansowaną ze środków UE lub innych). Negatywne czynniki, jakie mogą zagrozić utrzymaniu trwałości to niski poziom zainteresowania mieszkańców działaniami</w:t>
            </w:r>
            <w:r w:rsidR="006B26EB">
              <w:rPr>
                <w:rFonts w:cstheme="minorHAnsi"/>
                <w:sz w:val="22"/>
                <w:szCs w:val="22"/>
                <w:lang w:val="pl-PL" w:eastAsia="pl-PL"/>
              </w:rPr>
              <w:t xml:space="preserve"> rewitalizacyjnymi</w:t>
            </w:r>
            <w:r>
              <w:rPr>
                <w:rFonts w:cstheme="minorHAnsi"/>
                <w:sz w:val="22"/>
                <w:szCs w:val="22"/>
                <w:lang w:val="pl-PL" w:eastAsia="pl-PL"/>
              </w:rPr>
              <w:t>, brak środków na kontynuację działań, rosnące koszty utrzymania</w:t>
            </w:r>
            <w:r w:rsidR="006B26EB">
              <w:rPr>
                <w:rFonts w:cstheme="minorHAnsi"/>
                <w:sz w:val="22"/>
                <w:szCs w:val="22"/>
                <w:lang w:val="pl-PL" w:eastAsia="pl-PL"/>
              </w:rPr>
              <w:t xml:space="preserve"> infrastruktury</w:t>
            </w:r>
            <w:r>
              <w:rPr>
                <w:rFonts w:cstheme="minorHAnsi"/>
                <w:sz w:val="22"/>
                <w:szCs w:val="22"/>
                <w:lang w:val="pl-PL" w:eastAsia="pl-PL"/>
              </w:rPr>
              <w:t xml:space="preserve">, </w:t>
            </w:r>
            <w:r w:rsidR="006B26EB">
              <w:rPr>
                <w:rFonts w:cstheme="minorHAnsi"/>
                <w:sz w:val="22"/>
                <w:szCs w:val="22"/>
                <w:lang w:val="pl-PL" w:eastAsia="pl-PL"/>
              </w:rPr>
              <w:t xml:space="preserve">a także </w:t>
            </w:r>
            <w:r>
              <w:rPr>
                <w:rFonts w:cstheme="minorHAnsi"/>
                <w:sz w:val="22"/>
                <w:szCs w:val="22"/>
                <w:lang w:val="pl-PL" w:eastAsia="pl-PL"/>
              </w:rPr>
              <w:t>inflacja.</w:t>
            </w:r>
            <w:r w:rsidR="00BB4C20">
              <w:rPr>
                <w:rFonts w:cstheme="minorHAnsi"/>
                <w:sz w:val="22"/>
                <w:szCs w:val="22"/>
                <w:lang w:val="pl-PL" w:eastAsia="pl-PL"/>
              </w:rPr>
              <w:t xml:space="preserve"> Problemem, jaki wskazywano w ankietach trwałości najczęściej (choć i tak sporadycznie) było osiągnięcie poziomu zatrudnienia w niektórych projektach (</w:t>
            </w:r>
            <w:r w:rsidR="00D23935" w:rsidRPr="002B79F5">
              <w:rPr>
                <w:rFonts w:cstheme="minorHAnsi"/>
                <w:sz w:val="22"/>
                <w:szCs w:val="22"/>
                <w:lang w:val="pl-PL" w:eastAsia="pl-PL"/>
              </w:rPr>
              <w:t>więcej w rozdziale. 3.</w:t>
            </w:r>
            <w:r w:rsidR="00D23935">
              <w:rPr>
                <w:rFonts w:cstheme="minorHAnsi"/>
                <w:sz w:val="22"/>
                <w:szCs w:val="22"/>
                <w:lang w:val="pl-PL" w:eastAsia="pl-PL"/>
              </w:rPr>
              <w:t>6</w:t>
            </w:r>
            <w:r w:rsidR="00D23935" w:rsidRPr="002B79F5">
              <w:rPr>
                <w:rFonts w:cstheme="minorHAnsi"/>
                <w:sz w:val="22"/>
                <w:szCs w:val="22"/>
                <w:lang w:val="pl-PL" w:eastAsia="pl-PL"/>
              </w:rPr>
              <w:t>).</w:t>
            </w:r>
          </w:p>
        </w:tc>
      </w:tr>
      <w:tr w:rsidR="005F1D7B" w:rsidRPr="00F93848" w14:paraId="2DF42971" w14:textId="77777777" w:rsidTr="00F9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625" w:type="pct"/>
            <w:vAlign w:val="top"/>
          </w:tcPr>
          <w:p w14:paraId="514789DE" w14:textId="50F4FCFC" w:rsidR="005F1D7B" w:rsidRPr="002B79F5" w:rsidRDefault="005F1D7B" w:rsidP="005F1D7B">
            <w:pPr>
              <w:pStyle w:val="Default"/>
              <w:spacing w:after="78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2B79F5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 xml:space="preserve">7. Jak należy ocenić efektywność realizowanych projektów rewitalizacyjnych? </w:t>
            </w:r>
          </w:p>
        </w:tc>
        <w:tc>
          <w:tcPr>
            <w:tcW w:w="3375" w:type="pct"/>
            <w:vAlign w:val="top"/>
          </w:tcPr>
          <w:p w14:paraId="4080F2EC" w14:textId="692F2EEB" w:rsidR="005F1D7B" w:rsidRPr="002B79F5" w:rsidRDefault="008F5B83" w:rsidP="008F5B83">
            <w:pPr>
              <w:spacing w:before="120" w:after="120"/>
              <w:ind w:left="113" w:right="113"/>
              <w:rPr>
                <w:rFonts w:cstheme="minorHAnsi"/>
                <w:sz w:val="22"/>
                <w:szCs w:val="22"/>
                <w:lang w:val="pl-PL" w:eastAsia="pl-PL"/>
              </w:rPr>
            </w:pPr>
            <w:bookmarkStart w:id="3" w:name="_Hlk141822270"/>
            <w:r>
              <w:rPr>
                <w:rFonts w:cstheme="minorHAnsi"/>
                <w:sz w:val="22"/>
                <w:szCs w:val="22"/>
                <w:lang w:val="pl-PL" w:eastAsia="pl-PL"/>
              </w:rPr>
              <w:t>E</w:t>
            </w:r>
            <w:r w:rsidRPr="00BF7110">
              <w:rPr>
                <w:rFonts w:cstheme="minorHAnsi"/>
                <w:sz w:val="22"/>
                <w:szCs w:val="22"/>
                <w:lang w:val="pl-PL" w:eastAsia="pl-PL"/>
              </w:rPr>
              <w:t>fektywność wsparcia w obszarze rewitalizacji należy ocenić jako stosunkowo wysoką. Efektywność kosztowa nie różni się znacząco od efektywności analogicznych działań prowadzonych w innych regionach. Działania rewitalizacyjne były uzupełniane przede wszystkim z budżetów gmin, co było spowodowane wzrostem cen materiałów budowlanych. Niemniej jednak, bez dodatkowych środków nie osiągnięto by tak znaczących efektów. Większość realizatorów projektów</w:t>
            </w:r>
            <w:r w:rsidR="00EE1592">
              <w:rPr>
                <w:rFonts w:cstheme="minorHAnsi"/>
                <w:sz w:val="22"/>
                <w:szCs w:val="22"/>
                <w:lang w:val="pl-PL" w:eastAsia="pl-PL"/>
              </w:rPr>
              <w:t xml:space="preserve"> ocenia</w:t>
            </w:r>
            <w:r w:rsidRPr="00BF7110">
              <w:rPr>
                <w:rFonts w:cstheme="minorHAnsi"/>
                <w:sz w:val="22"/>
                <w:szCs w:val="22"/>
                <w:lang w:val="pl-PL" w:eastAsia="pl-PL"/>
              </w:rPr>
              <w:t xml:space="preserve"> stosunek nakładów (finansowych, kadrowych, organizacyjnych) poniesionych na realizację projektu w odniesieniu do osiągniętych efektów jako optymalny. Co więcej, poniesione nakłady nie są wyższe ani niższe niż w podobnych działaniach, realizowanych przez gminy z innych środków</w:t>
            </w:r>
            <w:r w:rsidR="00EE1592">
              <w:rPr>
                <w:rFonts w:cstheme="minorHAnsi"/>
                <w:sz w:val="22"/>
                <w:szCs w:val="22"/>
                <w:lang w:val="pl-PL" w:eastAsia="pl-PL"/>
              </w:rPr>
              <w:t xml:space="preserve"> </w:t>
            </w:r>
            <w:bookmarkEnd w:id="3"/>
            <w:r w:rsidR="00D23935" w:rsidRPr="002B79F5">
              <w:rPr>
                <w:rFonts w:cstheme="minorHAnsi"/>
                <w:sz w:val="22"/>
                <w:szCs w:val="22"/>
                <w:lang w:val="pl-PL" w:eastAsia="pl-PL"/>
              </w:rPr>
              <w:t>(więcej w rozdziale. 3.</w:t>
            </w:r>
            <w:r w:rsidR="00D23935">
              <w:rPr>
                <w:rFonts w:cstheme="minorHAnsi"/>
                <w:sz w:val="22"/>
                <w:szCs w:val="22"/>
                <w:lang w:val="pl-PL" w:eastAsia="pl-PL"/>
              </w:rPr>
              <w:t>7</w:t>
            </w:r>
            <w:r w:rsidR="00D23935" w:rsidRPr="002B79F5">
              <w:rPr>
                <w:rFonts w:cstheme="minorHAnsi"/>
                <w:sz w:val="22"/>
                <w:szCs w:val="22"/>
                <w:lang w:val="pl-PL" w:eastAsia="pl-PL"/>
              </w:rPr>
              <w:t>).</w:t>
            </w:r>
          </w:p>
        </w:tc>
      </w:tr>
      <w:tr w:rsidR="005F1D7B" w:rsidRPr="00F93848" w14:paraId="60A2A0C3" w14:textId="77777777" w:rsidTr="00F938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625" w:type="pct"/>
            <w:vAlign w:val="top"/>
          </w:tcPr>
          <w:p w14:paraId="0AE6A880" w14:textId="3E30C24D" w:rsidR="005F1D7B" w:rsidRPr="002B79F5" w:rsidRDefault="005F1D7B" w:rsidP="005F1D7B">
            <w:pPr>
              <w:pStyle w:val="Default"/>
              <w:spacing w:after="78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bookmarkStart w:id="4" w:name="_Hlk141822402"/>
            <w:r w:rsidRPr="002B79F5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8. Jaki jest poziom komplementarności w ramach badanych przedsięwzięć na obszarach rewitalizowanych? </w:t>
            </w:r>
          </w:p>
        </w:tc>
        <w:tc>
          <w:tcPr>
            <w:tcW w:w="3375" w:type="pct"/>
            <w:vAlign w:val="top"/>
          </w:tcPr>
          <w:p w14:paraId="4DDADED0" w14:textId="5977CC9E" w:rsidR="005F1D7B" w:rsidRPr="008F5B83" w:rsidRDefault="008F5B83" w:rsidP="008F5B83">
            <w:pPr>
              <w:spacing w:before="120" w:after="120"/>
              <w:ind w:left="113" w:right="113"/>
              <w:rPr>
                <w:rFonts w:cstheme="minorHAnsi"/>
                <w:sz w:val="22"/>
                <w:szCs w:val="22"/>
                <w:lang w:val="pl-PL" w:eastAsia="pl-PL"/>
              </w:rPr>
            </w:pPr>
            <w:r>
              <w:rPr>
                <w:rFonts w:cstheme="minorHAnsi"/>
                <w:sz w:val="22"/>
                <w:szCs w:val="22"/>
                <w:lang w:val="pl-PL" w:eastAsia="pl-PL"/>
              </w:rPr>
              <w:t>M</w:t>
            </w:r>
            <w:r w:rsidRPr="00307BF8">
              <w:rPr>
                <w:rFonts w:cstheme="minorHAnsi"/>
                <w:sz w:val="22"/>
                <w:szCs w:val="22"/>
                <w:lang w:val="pl-PL" w:eastAsia="pl-PL"/>
              </w:rPr>
              <w:t>echanizm zapewnienia komplementarności okazał się skuteczny, gdyż w większości gmin, korzystających z</w:t>
            </w:r>
            <w:r w:rsidR="00647E84">
              <w:rPr>
                <w:rFonts w:cstheme="minorHAnsi"/>
                <w:sz w:val="22"/>
                <w:szCs w:val="22"/>
                <w:lang w:val="pl-PL" w:eastAsia="pl-PL"/>
              </w:rPr>
              <w:t>e</w:t>
            </w:r>
            <w:r w:rsidRPr="00307BF8">
              <w:rPr>
                <w:rFonts w:cstheme="minorHAnsi"/>
                <w:sz w:val="22"/>
                <w:szCs w:val="22"/>
                <w:lang w:val="pl-PL" w:eastAsia="pl-PL"/>
              </w:rPr>
              <w:t xml:space="preserve"> środków w ramach OP VI udało się lub uda się faktycznie powiązać projekty w obszarze EFS i EFRR. Świadczą o tym deklaracje beneficjentów projektów EFS, przedstawicieli JST, jak i analiza danych zastanych na temat dofinansowanych projektów. Projekty te wspólnie przyczyniają się do ożywienia społeczno-gospodarczego obszarów charakteryzujących się występowaniem niekorzystnych zjawisk. Działania współfinansowane w ramach EFS uzupełniają wsparcie w obszarze EFRR głównie poprzez powstawanie w zrewitalizowanej infrastrukturze placówek wsparcia i integracji dla osób zagrożonych wykluczeniem społecznym, ulokowanie na terenach zrewitalizowanych działalności gospodarczych powstających w ramach OP VII, a także realizację wsparcia dla osób bezrobotnych</w:t>
            </w:r>
            <w:r w:rsidR="00F83957">
              <w:rPr>
                <w:rFonts w:cstheme="minorHAnsi"/>
                <w:sz w:val="22"/>
                <w:szCs w:val="22"/>
                <w:lang w:val="pl-PL" w:eastAsia="pl-PL"/>
              </w:rPr>
              <w:t>,</w:t>
            </w:r>
            <w:r w:rsidRPr="00307BF8">
              <w:rPr>
                <w:rFonts w:cstheme="minorHAnsi"/>
                <w:sz w:val="22"/>
                <w:szCs w:val="22"/>
                <w:lang w:val="pl-PL" w:eastAsia="pl-PL"/>
              </w:rPr>
              <w:t xml:space="preserve"> np. szkoleń w zrewitalizowanych przestrzeniach, czy też aktywizację osób bezrobotnych zamieszkujących obszary zdegradowane. Jak wynika z relacji </w:t>
            </w:r>
            <w:r w:rsidRPr="00307BF8">
              <w:rPr>
                <w:rFonts w:cstheme="minorHAnsi"/>
                <w:sz w:val="22"/>
                <w:szCs w:val="22"/>
                <w:lang w:val="pl-PL" w:eastAsia="pl-PL"/>
              </w:rPr>
              <w:lastRenderedPageBreak/>
              <w:t xml:space="preserve">przedstawicieli JST oraz </w:t>
            </w:r>
            <w:r w:rsidR="00F83957">
              <w:rPr>
                <w:rFonts w:cstheme="minorHAnsi"/>
                <w:sz w:val="22"/>
                <w:szCs w:val="22"/>
                <w:lang w:val="pl-PL" w:eastAsia="pl-PL"/>
              </w:rPr>
              <w:t>IZ/IP</w:t>
            </w:r>
            <w:r w:rsidRPr="00307BF8">
              <w:rPr>
                <w:rFonts w:cstheme="minorHAnsi"/>
                <w:sz w:val="22"/>
                <w:szCs w:val="22"/>
                <w:lang w:val="pl-PL" w:eastAsia="pl-PL"/>
              </w:rPr>
              <w:t xml:space="preserve"> i Zespołu ds. </w:t>
            </w:r>
            <w:r w:rsidR="00C873EF">
              <w:rPr>
                <w:rFonts w:cstheme="minorHAnsi"/>
                <w:sz w:val="22"/>
                <w:szCs w:val="22"/>
                <w:lang w:val="pl-PL" w:eastAsia="pl-PL"/>
              </w:rPr>
              <w:t>r</w:t>
            </w:r>
            <w:r w:rsidRPr="00307BF8">
              <w:rPr>
                <w:rFonts w:cstheme="minorHAnsi"/>
                <w:sz w:val="22"/>
                <w:szCs w:val="22"/>
                <w:lang w:val="pl-PL" w:eastAsia="pl-PL"/>
              </w:rPr>
              <w:t>ewitalizacji, działania o charakterze rewitalizacyjnym finansowane z RPO WP 2014-2020 były uzupełniane głównie przez środki pochodzące z budżetu gminy.</w:t>
            </w:r>
            <w:r w:rsidRPr="00313D1F">
              <w:t xml:space="preserve"> </w:t>
            </w:r>
            <w:r>
              <w:rPr>
                <w:rFonts w:cstheme="minorHAnsi"/>
                <w:sz w:val="22"/>
                <w:szCs w:val="22"/>
                <w:lang w:val="pl-PL" w:eastAsia="pl-PL"/>
              </w:rPr>
              <w:t>R</w:t>
            </w:r>
            <w:r w:rsidRPr="00313D1F">
              <w:rPr>
                <w:rFonts w:cstheme="minorHAnsi"/>
                <w:sz w:val="22"/>
                <w:szCs w:val="22"/>
                <w:lang w:val="pl-PL" w:eastAsia="pl-PL"/>
              </w:rPr>
              <w:t>ekomenduje się, aby w perspektywie finansowej 2021-2027, zastosować kryterium premiujące projekt wpisany do GPR</w:t>
            </w:r>
            <w:r>
              <w:rPr>
                <w:rFonts w:cstheme="minorHAnsi"/>
                <w:sz w:val="22"/>
                <w:szCs w:val="22"/>
                <w:lang w:val="pl-PL" w:eastAsia="pl-PL"/>
              </w:rPr>
              <w:t xml:space="preserve"> w odniesieniu do wybranych </w:t>
            </w:r>
            <w:r w:rsidR="006B26EB">
              <w:rPr>
                <w:rFonts w:cstheme="minorHAnsi"/>
                <w:sz w:val="22"/>
                <w:szCs w:val="22"/>
                <w:lang w:val="pl-PL" w:eastAsia="pl-PL"/>
              </w:rPr>
              <w:t xml:space="preserve">naborów w ramach </w:t>
            </w:r>
            <w:r w:rsidR="00F955D7">
              <w:rPr>
                <w:rFonts w:cstheme="minorHAnsi"/>
                <w:sz w:val="22"/>
                <w:szCs w:val="22"/>
                <w:lang w:val="pl-PL" w:eastAsia="pl-PL"/>
              </w:rPr>
              <w:t xml:space="preserve">CS </w:t>
            </w:r>
            <w:r w:rsidRPr="00DE6D84">
              <w:rPr>
                <w:rFonts w:cstheme="minorHAnsi"/>
                <w:sz w:val="22"/>
                <w:szCs w:val="22"/>
                <w:lang w:val="pl-PL" w:eastAsia="pl-PL"/>
              </w:rPr>
              <w:t>5(ii)</w:t>
            </w:r>
            <w:r w:rsidR="006B26EB">
              <w:rPr>
                <w:rFonts w:cstheme="minorHAnsi"/>
                <w:sz w:val="22"/>
                <w:szCs w:val="22"/>
                <w:lang w:val="pl-PL" w:eastAsia="pl-PL"/>
              </w:rPr>
              <w:t xml:space="preserve"> oraz Działania </w:t>
            </w:r>
            <w:r w:rsidR="00D93AE8">
              <w:rPr>
                <w:rFonts w:cstheme="minorHAnsi"/>
                <w:sz w:val="22"/>
                <w:szCs w:val="22"/>
                <w:lang w:val="pl-PL" w:eastAsia="pl-PL"/>
              </w:rPr>
              <w:t>FEPK</w:t>
            </w:r>
            <w:r w:rsidR="00F83957">
              <w:rPr>
                <w:rFonts w:cstheme="minorHAnsi"/>
                <w:sz w:val="22"/>
                <w:szCs w:val="22"/>
                <w:lang w:val="pl-PL" w:eastAsia="pl-PL"/>
              </w:rPr>
              <w:t>.</w:t>
            </w:r>
            <w:r w:rsidR="006B26EB">
              <w:rPr>
                <w:rFonts w:cstheme="minorHAnsi"/>
                <w:sz w:val="22"/>
                <w:szCs w:val="22"/>
                <w:lang w:val="pl-PL" w:eastAsia="pl-PL"/>
              </w:rPr>
              <w:t>07.04</w:t>
            </w:r>
            <w:r>
              <w:rPr>
                <w:rFonts w:cstheme="minorHAnsi"/>
                <w:sz w:val="22"/>
                <w:szCs w:val="22"/>
                <w:lang w:val="pl-PL" w:eastAsia="pl-PL"/>
              </w:rPr>
              <w:t xml:space="preserve"> </w:t>
            </w:r>
            <w:r w:rsidR="00D23935" w:rsidRPr="002B79F5">
              <w:rPr>
                <w:rFonts w:cstheme="minorHAnsi"/>
                <w:sz w:val="22"/>
                <w:szCs w:val="22"/>
                <w:lang w:val="pl-PL" w:eastAsia="pl-PL"/>
              </w:rPr>
              <w:t>(więcej w rozdziale. 3.</w:t>
            </w:r>
            <w:r w:rsidR="00D23935">
              <w:rPr>
                <w:rFonts w:cstheme="minorHAnsi"/>
                <w:sz w:val="22"/>
                <w:szCs w:val="22"/>
                <w:lang w:val="pl-PL" w:eastAsia="pl-PL"/>
              </w:rPr>
              <w:t>8</w:t>
            </w:r>
            <w:r w:rsidR="00D23935" w:rsidRPr="002B79F5">
              <w:rPr>
                <w:rFonts w:cstheme="minorHAnsi"/>
                <w:sz w:val="22"/>
                <w:szCs w:val="22"/>
                <w:lang w:val="pl-PL" w:eastAsia="pl-PL"/>
              </w:rPr>
              <w:t>).</w:t>
            </w:r>
          </w:p>
        </w:tc>
      </w:tr>
      <w:bookmarkEnd w:id="4"/>
      <w:tr w:rsidR="005F1D7B" w:rsidRPr="00F93848" w14:paraId="14D38FD2" w14:textId="77777777" w:rsidTr="00F9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625" w:type="pct"/>
            <w:vAlign w:val="top"/>
          </w:tcPr>
          <w:p w14:paraId="59FE3274" w14:textId="1C154228" w:rsidR="005F1D7B" w:rsidRPr="002B79F5" w:rsidRDefault="005F1D7B" w:rsidP="005F1D7B">
            <w:pPr>
              <w:pStyle w:val="Default"/>
              <w:spacing w:after="61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2B79F5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 xml:space="preserve">9. W jaki sposób zapewnione jest wypełnienie w projektach w obszarze rewitalizacji realizowanych w ramach RPO WP 2014-2020 zasad horyzontalnych, tj. zasady równości szans i niedyskryminacji, w tym dostępności dla osób z niepełnosprawnościami, zasady równości szans kobiet i mężczyzn, zasady zrównoważonego rozwoju? </w:t>
            </w:r>
          </w:p>
        </w:tc>
        <w:tc>
          <w:tcPr>
            <w:tcW w:w="3375" w:type="pct"/>
            <w:vAlign w:val="top"/>
          </w:tcPr>
          <w:p w14:paraId="07E26F46" w14:textId="7D40AA14" w:rsidR="005F1D7B" w:rsidRPr="002B79F5" w:rsidRDefault="005F1D7B" w:rsidP="005F1D7B">
            <w:pPr>
              <w:spacing w:before="120" w:after="120"/>
              <w:ind w:left="113" w:right="113"/>
              <w:rPr>
                <w:rFonts w:cstheme="minorHAnsi"/>
                <w:sz w:val="22"/>
                <w:szCs w:val="22"/>
                <w:lang w:val="pl-PL"/>
              </w:rPr>
            </w:pPr>
            <w:r w:rsidRPr="002B79F5">
              <w:rPr>
                <w:rFonts w:cstheme="minorHAnsi"/>
                <w:sz w:val="22"/>
                <w:szCs w:val="22"/>
                <w:lang w:val="pl-PL"/>
              </w:rPr>
              <w:t xml:space="preserve">Realizacja zasad horyzontalnych w projektach przebiegała pomyślnie. Sposób uwzględniania zasad wskazuje, że beneficjenci mają świadomość ich istnienia i znaczenia. W projektach infrastrukturalnych najłatwiej zapewnić dostępność dla osób z niepełnosprawnościami, co następuje poprzez uwzględnienie standardu architektonicznego. W projektach </w:t>
            </w:r>
            <w:r w:rsidR="00D328DB">
              <w:rPr>
                <w:rFonts w:cstheme="minorHAnsi"/>
                <w:sz w:val="22"/>
                <w:szCs w:val="22"/>
                <w:lang w:val="pl-PL"/>
              </w:rPr>
              <w:t xml:space="preserve">powiązanych </w:t>
            </w:r>
            <w:r w:rsidRPr="002B79F5">
              <w:rPr>
                <w:rFonts w:cstheme="minorHAnsi"/>
                <w:sz w:val="22"/>
                <w:szCs w:val="22"/>
                <w:lang w:val="pl-PL"/>
              </w:rPr>
              <w:t xml:space="preserve">następuje to z kolei w odniesieniu do zasad równości szans i niedyskryminacji, w tym dostępności dla osób z niepełnosprawnościami oraz równości szans kobiet i mężczyzn. W tym przypadku zapewnienie zasady zrównoważonego rozwoju jest utrudnione (mniejsze oddziaływanie, niż w przypadku projektów infrastrukturalnych), jednakże jest również realizowane – w miarę możliwości – przez beneficjentów projektów (np. poprzez promowanie transportu zbiorowego w miejsce osobistego) 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>(więcej w rozdziale. 3.9).</w:t>
            </w:r>
          </w:p>
        </w:tc>
      </w:tr>
      <w:tr w:rsidR="005F1D7B" w:rsidRPr="00F93848" w14:paraId="21F9DF60" w14:textId="77777777" w:rsidTr="00F938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625" w:type="pct"/>
            <w:vAlign w:val="top"/>
          </w:tcPr>
          <w:p w14:paraId="13413865" w14:textId="1C731AEA" w:rsidR="005F1D7B" w:rsidRPr="002B79F5" w:rsidRDefault="005F1D7B" w:rsidP="005F1D7B">
            <w:pPr>
              <w:pStyle w:val="Default"/>
              <w:spacing w:after="61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2B79F5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10. Jakie można przedstawić zalecenia i rekomendacje dla okresu programowania 2021-2027 w zakresie wdrażania projektów mających na celu realizację działań o charakterze „rewitalizacyjnym”? </w:t>
            </w:r>
          </w:p>
        </w:tc>
        <w:tc>
          <w:tcPr>
            <w:tcW w:w="3375" w:type="pct"/>
            <w:vAlign w:val="top"/>
          </w:tcPr>
          <w:p w14:paraId="2076EC13" w14:textId="21982AE8" w:rsidR="005F1D7B" w:rsidRDefault="002B79F5" w:rsidP="005F1D7B">
            <w:pPr>
              <w:spacing w:before="120" w:after="120"/>
              <w:ind w:left="113" w:right="113"/>
              <w:rPr>
                <w:rFonts w:cstheme="minorHAnsi"/>
                <w:sz w:val="22"/>
                <w:szCs w:val="22"/>
                <w:lang w:val="pl-PL" w:eastAsia="pl-PL"/>
              </w:rPr>
            </w:pP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Wyniki niniejszego badania pozwalają przypuszczać, że w części gmin wiedza i świadomość na temat społecznego wymiaru rewitalizacji jest nadal dość niska. Wobec tego rekomenduje się, aby w wybranych naborach realizowanych w trybie konkurencyjnym w ramach </w:t>
            </w:r>
            <w:r w:rsidR="006B26EB">
              <w:rPr>
                <w:rFonts w:cstheme="minorHAnsi"/>
                <w:sz w:val="22"/>
                <w:szCs w:val="22"/>
                <w:lang w:val="pl-PL" w:eastAsia="pl-PL"/>
              </w:rPr>
              <w:t xml:space="preserve">Działania </w:t>
            </w:r>
            <w:r w:rsidR="00D93AE8">
              <w:rPr>
                <w:rFonts w:cstheme="minorHAnsi"/>
                <w:sz w:val="22"/>
                <w:szCs w:val="22"/>
                <w:lang w:val="pl-PL" w:eastAsia="pl-PL"/>
              </w:rPr>
              <w:t>FEPK</w:t>
            </w:r>
            <w:r w:rsidR="00F83957">
              <w:rPr>
                <w:rFonts w:cstheme="minorHAnsi"/>
                <w:sz w:val="22"/>
                <w:szCs w:val="22"/>
                <w:lang w:val="pl-PL" w:eastAsia="pl-PL"/>
              </w:rPr>
              <w:t>.</w:t>
            </w:r>
            <w:r w:rsidR="006B26EB">
              <w:rPr>
                <w:rFonts w:cstheme="minorHAnsi"/>
                <w:sz w:val="22"/>
                <w:szCs w:val="22"/>
                <w:lang w:val="pl-PL" w:eastAsia="pl-PL"/>
              </w:rPr>
              <w:t>07.04.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 zastosować kryterium premiujące wynikanie projektu z GPR. Ogłoszenie </w:t>
            </w:r>
            <w:r w:rsidR="006B26EB">
              <w:rPr>
                <w:rFonts w:cstheme="minorHAnsi"/>
                <w:sz w:val="22"/>
                <w:szCs w:val="22"/>
                <w:lang w:val="pl-PL" w:eastAsia="pl-PL"/>
              </w:rPr>
              <w:t>naboru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 należy poprzedzić działaniami informacyjno-promocyjnymi. Należy także zwrócić uwagę na odpowiednie oznaczenie naboru (tj. wskazanie, że w konkursie są premiowane projekty wynikające z GPR) na stronie internetowej.</w:t>
            </w:r>
          </w:p>
          <w:p w14:paraId="24684A69" w14:textId="0F58BD66" w:rsidR="002B79F5" w:rsidRDefault="002B79F5" w:rsidP="005F1D7B">
            <w:pPr>
              <w:spacing w:before="120" w:after="120"/>
              <w:ind w:left="113" w:right="113"/>
              <w:rPr>
                <w:rFonts w:cstheme="minorHAnsi"/>
                <w:sz w:val="22"/>
                <w:szCs w:val="22"/>
                <w:lang w:val="pl-PL" w:eastAsia="pl-PL"/>
              </w:rPr>
            </w:pP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W ramach FEP 2021-2027 realizowany będzie Priorytet 6. Rozwój zrównoważony terytorialnie. W ramach tego Priorytetu ustanowiono </w:t>
            </w:r>
            <w:r w:rsidR="006B26EB">
              <w:rPr>
                <w:rFonts w:cstheme="minorHAnsi"/>
                <w:sz w:val="22"/>
                <w:szCs w:val="22"/>
                <w:lang w:val="pl-PL" w:eastAsia="pl-PL"/>
              </w:rPr>
              <w:t xml:space="preserve">m. in. 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>Cel Szczegółow</w:t>
            </w:r>
            <w:r w:rsidR="006B26EB">
              <w:rPr>
                <w:rFonts w:cstheme="minorHAnsi"/>
                <w:sz w:val="22"/>
                <w:szCs w:val="22"/>
                <w:lang w:val="pl-PL" w:eastAsia="pl-PL"/>
              </w:rPr>
              <w:t>y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 5(ii), w ramach któr</w:t>
            </w:r>
            <w:r w:rsidR="006B26EB">
              <w:rPr>
                <w:rFonts w:cstheme="minorHAnsi"/>
                <w:sz w:val="22"/>
                <w:szCs w:val="22"/>
                <w:lang w:val="pl-PL" w:eastAsia="pl-PL"/>
              </w:rPr>
              <w:t>ego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 będą realizowane działania potencjalnie dopełniające proces rewitalizacji w gminach. Planowane działania mają na celu 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lastRenderedPageBreak/>
              <w:t xml:space="preserve">wsparcie obszarów wiejskich w zrównoważonym rozwoju. Interwencja będzie dotyczyć dziedzictwa kulturowego i naturalnego, usług turystycznych, ekoturystyki, </w:t>
            </w:r>
            <w:r w:rsidR="006B26EB">
              <w:rPr>
                <w:rFonts w:cstheme="minorHAnsi"/>
                <w:sz w:val="22"/>
                <w:szCs w:val="22"/>
                <w:lang w:val="pl-PL" w:eastAsia="pl-PL"/>
              </w:rPr>
              <w:t xml:space="preserve">a także 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fizycznej odnowy i bezpieczeństwa przestrzeni publicznych. Jak wynika z przeprowadzonych wywiadów, w ramach konkursów dotyczących ww. CS planowane jest premiowanie projektów wynikających z GPR. W opinii </w:t>
            </w:r>
            <w:proofErr w:type="spellStart"/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>ewaluatorów</w:t>
            </w:r>
            <w:proofErr w:type="spellEnd"/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>, jak i ekspertów wypowiadających się w ramach wywiadów pogłębionych, premiowanie powiązania tego typu działań z projektami wpisanymi do GPR jest słuszne i może przynieść długofalowe korzyści. Wobec tego, rekomenduje się, aby w perspektywie finansowej 2021-2027, zastosować kryterium premiujące projekty wynikające z GPR także w odniesieniu do CS 5(ii).</w:t>
            </w:r>
          </w:p>
          <w:p w14:paraId="1C64FA47" w14:textId="30BACF21" w:rsidR="002B79F5" w:rsidRDefault="002B79F5" w:rsidP="005F1D7B">
            <w:pPr>
              <w:spacing w:before="120" w:after="120"/>
              <w:ind w:left="113" w:right="113"/>
              <w:rPr>
                <w:rFonts w:cstheme="minorHAnsi"/>
                <w:sz w:val="22"/>
                <w:szCs w:val="22"/>
                <w:lang w:val="pl-PL" w:eastAsia="pl-PL"/>
              </w:rPr>
            </w:pP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>W ramach niniejszego badania przeprowadzano analizę danych zastanych, dotyczącą projektów rewitalizacyjnych. W tym miejscu warto wspomnieć, że w systemie informatycznym SL2014 w ramach RPO WP 2014-2020 nie ma informacji, który projekt wynika z LPR/GPR; projekty rewitalizacyjne były identyfikowane na podstawie numerów naboru. Informacje te mogłyby być przydatne w monitorowaniu wsparcia w obszarze rewitalizacji na terenie województwa podkarpackiego w perspektywie 2021-2027, zwłaszcza w przypadku wprowadzenia kryterium premiującego wynikanie projektu z GPR, co potwierdzają także przedstawiciele I</w:t>
            </w:r>
            <w:r w:rsidR="00F83957">
              <w:rPr>
                <w:rFonts w:cstheme="minorHAnsi"/>
                <w:sz w:val="22"/>
                <w:szCs w:val="22"/>
                <w:lang w:val="pl-PL" w:eastAsia="pl-PL"/>
              </w:rPr>
              <w:t>Z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>/I</w:t>
            </w:r>
            <w:r w:rsidR="00F83957">
              <w:rPr>
                <w:rFonts w:cstheme="minorHAnsi"/>
                <w:sz w:val="22"/>
                <w:szCs w:val="22"/>
                <w:lang w:val="pl-PL" w:eastAsia="pl-PL"/>
              </w:rPr>
              <w:t>P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 oraz eksperci uczestniczący w badaniu.</w:t>
            </w:r>
          </w:p>
          <w:p w14:paraId="362FA730" w14:textId="30E3781B" w:rsidR="002B79F5" w:rsidRDefault="002B79F5" w:rsidP="005F1D7B">
            <w:pPr>
              <w:spacing w:before="120" w:after="120"/>
              <w:ind w:left="113" w:right="113"/>
              <w:rPr>
                <w:rFonts w:cstheme="minorHAnsi"/>
                <w:sz w:val="22"/>
                <w:szCs w:val="22"/>
                <w:lang w:val="pl-PL" w:eastAsia="pl-PL"/>
              </w:rPr>
            </w:pP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>Elementem monitoringu procesu rewitalizacji w województwie podkarpackim jest coroczna ankieta kierowana przez Urząd Marszałkowski Województwa Podkarpackiego do wszystkich gmin w województwie. Ankieta stanowi cenne źródło informacji na temat zakresu i postępu procesów rewitalizacji w poszczególnych gminach, biorąc pod uwagę w szczególności fakt oparcia realizacji znacznej części projektów rewitalizacyjnych na funduszach unijnych. Dostarcza wiedzy m. in. na temat liczby projektów zaplanowanych w programie rewitalizacji, jak i dotychczas zrealizowanych, wartości poszczególnych zadań, ich źródeł finansowania, oceny stopnia realizacji oraz ewentualnych planów odnośnie aktualizacji/opracowania nowego programu. Biorąc pod uwagę</w:t>
            </w:r>
            <w:r w:rsidR="007D1C3F">
              <w:rPr>
                <w:rFonts w:cstheme="minorHAnsi"/>
                <w:sz w:val="22"/>
                <w:szCs w:val="22"/>
                <w:lang w:val="pl-PL" w:eastAsia="pl-PL"/>
              </w:rPr>
              <w:t xml:space="preserve">, iż w 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>perspektywie unijnej 2021-2027</w:t>
            </w:r>
            <w:r w:rsidR="007D1C3F">
              <w:rPr>
                <w:rFonts w:cstheme="minorHAnsi"/>
                <w:sz w:val="22"/>
                <w:szCs w:val="22"/>
                <w:lang w:val="pl-PL" w:eastAsia="pl-PL"/>
              </w:rPr>
              <w:t xml:space="preserve"> nie będzie Wykazu programów rewitalizacji gmin województwa podkarpackiego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, </w:t>
            </w:r>
            <w:r w:rsidR="00223B33">
              <w:rPr>
                <w:rFonts w:cstheme="minorHAnsi"/>
                <w:sz w:val="22"/>
                <w:szCs w:val="22"/>
                <w:lang w:val="pl-PL" w:eastAsia="pl-PL"/>
              </w:rPr>
              <w:t>rekomenduje się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 kontynuacj</w:t>
            </w:r>
            <w:r w:rsidR="00D328DB">
              <w:rPr>
                <w:rFonts w:cstheme="minorHAnsi"/>
                <w:sz w:val="22"/>
                <w:szCs w:val="22"/>
                <w:lang w:val="pl-PL" w:eastAsia="pl-PL"/>
              </w:rPr>
              <w:t>ę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 realizacji ankiet. Urząd Marszałkowski wciąż realizuje zadania związane ze 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lastRenderedPageBreak/>
              <w:t xml:space="preserve">wsparciem gmin w procesach rewitalizacji, stąd ważny jest stały nadzór nad ich działaniami, głównie w kontekście zakresu wsparcia kierowanego na przedsięwzięcia </w:t>
            </w:r>
            <w:r w:rsidR="00D328DB">
              <w:rPr>
                <w:rFonts w:cstheme="minorHAnsi"/>
                <w:sz w:val="22"/>
                <w:szCs w:val="22"/>
                <w:lang w:val="pl-PL" w:eastAsia="pl-PL"/>
              </w:rPr>
              <w:t>o charakterze „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>rewitalizacyjn</w:t>
            </w:r>
            <w:r w:rsidR="00D328DB">
              <w:rPr>
                <w:rFonts w:cstheme="minorHAnsi"/>
                <w:sz w:val="22"/>
                <w:szCs w:val="22"/>
                <w:lang w:val="pl-PL" w:eastAsia="pl-PL"/>
              </w:rPr>
              <w:t>ym”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 w FEP 2021-2027.</w:t>
            </w:r>
          </w:p>
          <w:p w14:paraId="782502E8" w14:textId="4B196AC1" w:rsidR="00223B33" w:rsidRDefault="00223B33" w:rsidP="00223B33">
            <w:pPr>
              <w:spacing w:before="120" w:after="120"/>
              <w:ind w:left="113" w:right="113"/>
              <w:rPr>
                <w:rFonts w:cstheme="minorHAnsi"/>
                <w:sz w:val="22"/>
                <w:szCs w:val="22"/>
                <w:lang w:val="pl-PL" w:eastAsia="pl-PL"/>
              </w:rPr>
            </w:pPr>
            <w:r w:rsidRPr="00223B33">
              <w:rPr>
                <w:rFonts w:cstheme="minorHAnsi"/>
                <w:sz w:val="22"/>
                <w:szCs w:val="22"/>
                <w:lang w:val="pl-PL" w:eastAsia="pl-PL"/>
              </w:rPr>
              <w:t xml:space="preserve">Istotnym elementem wsparcia procesu rewitalizacji w województwie podkarpackim jest działalność Zespołu ds. </w:t>
            </w:r>
            <w:r w:rsidR="00C873EF">
              <w:rPr>
                <w:rFonts w:cstheme="minorHAnsi"/>
                <w:sz w:val="22"/>
                <w:szCs w:val="22"/>
                <w:lang w:val="pl-PL" w:eastAsia="pl-PL"/>
              </w:rPr>
              <w:t>r</w:t>
            </w:r>
            <w:r w:rsidRPr="00223B33">
              <w:rPr>
                <w:rFonts w:cstheme="minorHAnsi"/>
                <w:sz w:val="22"/>
                <w:szCs w:val="22"/>
                <w:lang w:val="pl-PL" w:eastAsia="pl-PL"/>
              </w:rPr>
              <w:t xml:space="preserve">ewitalizacji, który był odpowiedzialny m. in. za koordynację działań edukacyjnych, wsparcie doradcze, ocenę programów rewitalizacji czy prowadzenie </w:t>
            </w:r>
            <w:proofErr w:type="spellStart"/>
            <w:r w:rsidRPr="00223B33">
              <w:rPr>
                <w:rFonts w:cstheme="minorHAnsi"/>
                <w:sz w:val="22"/>
                <w:szCs w:val="22"/>
                <w:lang w:val="pl-PL" w:eastAsia="pl-PL"/>
              </w:rPr>
              <w:t>podportalu</w:t>
            </w:r>
            <w:proofErr w:type="spellEnd"/>
            <w:r w:rsidRPr="00223B33">
              <w:rPr>
                <w:rFonts w:cstheme="minorHAnsi"/>
                <w:sz w:val="22"/>
                <w:szCs w:val="22"/>
                <w:lang w:val="pl-PL" w:eastAsia="pl-PL"/>
              </w:rPr>
              <w:t xml:space="preserve"> dedykowanego rewitalizacji. O skuteczności działań Zespołu świadczą pozytywne opinie przedstawicieli gmin na temat działań informacyjno-promocyjnych, a także wypowiedzi ekspertów, uczestniczących w niniejszym badaniu. Mimo iż nie przewiduje się prowadzenia Wykazu GPR ani oceniania nowych programów, warto wykorzystać ogromną wiedzę członków Zespołu i kontynuować jego </w:t>
            </w:r>
            <w:r w:rsidR="007D1C3F">
              <w:rPr>
                <w:rFonts w:cstheme="minorHAnsi"/>
                <w:sz w:val="22"/>
                <w:szCs w:val="22"/>
                <w:lang w:val="pl-PL" w:eastAsia="pl-PL"/>
              </w:rPr>
              <w:t>funkcjonowanie</w:t>
            </w:r>
            <w:r w:rsidRPr="00223B33">
              <w:rPr>
                <w:rFonts w:cstheme="minorHAnsi"/>
                <w:sz w:val="22"/>
                <w:szCs w:val="22"/>
                <w:lang w:val="pl-PL" w:eastAsia="pl-PL"/>
              </w:rPr>
              <w:t xml:space="preserve"> w perspektywie 2021-2027. Zespół mógłby pełnić rolę centrum kompetencyjnego Urzędu Marszałkowskiego, do którego gminy zgłaszałyby się po wsparcie w formie konsultacji. </w:t>
            </w:r>
          </w:p>
          <w:p w14:paraId="481D2AA5" w14:textId="7D5C271A" w:rsidR="00223B33" w:rsidRPr="002B79F5" w:rsidRDefault="00223B33" w:rsidP="00223B33">
            <w:pPr>
              <w:spacing w:before="120" w:after="120"/>
              <w:ind w:left="113" w:right="113"/>
              <w:rPr>
                <w:rFonts w:cstheme="minorHAnsi"/>
                <w:sz w:val="22"/>
                <w:szCs w:val="22"/>
                <w:lang w:val="pl-PL" w:eastAsia="pl-PL"/>
              </w:rPr>
            </w:pPr>
            <w:r w:rsidRPr="00223B33">
              <w:rPr>
                <w:rFonts w:cstheme="minorHAnsi"/>
                <w:sz w:val="22"/>
                <w:szCs w:val="22"/>
                <w:lang w:val="pl-PL" w:eastAsia="pl-PL"/>
              </w:rPr>
              <w:t>W ramach badania pozytywnie oceniono działania informacyjno-promocyjne podejmowane przez IZ RPO WP 2014-2020 w zakresie rewitalizacji, w tym także działania edukacyjne dedykowane przedstawicielom gmin, prowadzone w latach 2020-2022. Z badania wynika także, że gminy w dalszym ciągu potrzebują wsparcia doradczo-szkoleniowego w zakresie rewitalizacji</w:t>
            </w:r>
            <w:r>
              <w:rPr>
                <w:rFonts w:cstheme="minorHAnsi"/>
                <w:sz w:val="22"/>
                <w:szCs w:val="22"/>
                <w:lang w:val="pl-PL" w:eastAsia="pl-PL"/>
              </w:rPr>
              <w:t xml:space="preserve">, dotyczącego </w:t>
            </w:r>
            <w:r w:rsidRPr="00223B33">
              <w:rPr>
                <w:rFonts w:cstheme="minorHAnsi"/>
                <w:sz w:val="22"/>
                <w:szCs w:val="22"/>
                <w:lang w:val="pl-PL" w:eastAsia="pl-PL"/>
              </w:rPr>
              <w:t>chociażby opracowywania GPR. Rekomenduje się kontynuowanie działań edukacyjnych dla gmin województwa podkarpackiego, dotyczących prowadzenia procesu rewitalizacji, poprzez organizowanie i przeprowadzanie szkoleń, spotkań informacyjnych, wizyt studyjnych, doradztwa w formie telefonicznej i mailowej dla gmin w regionie. Działania edukacyjne powinny być prowadzone przez członków Zespołu ds. rewitalizacji lub ekspertów zewnętrznych</w:t>
            </w:r>
            <w:r w:rsidR="00D23935">
              <w:rPr>
                <w:rFonts w:cstheme="minorHAnsi"/>
                <w:sz w:val="22"/>
                <w:szCs w:val="22"/>
                <w:lang w:val="pl-PL" w:eastAsia="pl-PL"/>
              </w:rPr>
              <w:t xml:space="preserve"> </w:t>
            </w:r>
            <w:r w:rsidR="00D23935" w:rsidRPr="002B79F5">
              <w:rPr>
                <w:rFonts w:cstheme="minorHAnsi"/>
                <w:sz w:val="22"/>
                <w:szCs w:val="22"/>
                <w:lang w:val="pl-PL" w:eastAsia="pl-PL"/>
              </w:rPr>
              <w:t>(więcej w rozd</w:t>
            </w:r>
            <w:r w:rsidR="00D23935">
              <w:rPr>
                <w:rFonts w:cstheme="minorHAnsi"/>
                <w:sz w:val="22"/>
                <w:szCs w:val="22"/>
                <w:lang w:val="pl-PL" w:eastAsia="pl-PL"/>
              </w:rPr>
              <w:t>z</w:t>
            </w:r>
            <w:r w:rsidR="00D23935"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. </w:t>
            </w:r>
            <w:r w:rsidR="00D23935">
              <w:rPr>
                <w:rFonts w:cstheme="minorHAnsi"/>
                <w:sz w:val="22"/>
                <w:szCs w:val="22"/>
                <w:lang w:val="pl-PL" w:eastAsia="pl-PL"/>
              </w:rPr>
              <w:t>3.10</w:t>
            </w:r>
            <w:r w:rsidR="00D23935" w:rsidRPr="002B79F5">
              <w:rPr>
                <w:rFonts w:cstheme="minorHAnsi"/>
                <w:sz w:val="22"/>
                <w:szCs w:val="22"/>
                <w:lang w:val="pl-PL" w:eastAsia="pl-PL"/>
              </w:rPr>
              <w:t>).</w:t>
            </w:r>
          </w:p>
        </w:tc>
      </w:tr>
      <w:tr w:rsidR="005F1D7B" w:rsidRPr="00F93848" w14:paraId="13B73EA7" w14:textId="77777777" w:rsidTr="00F9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625" w:type="pct"/>
            <w:vAlign w:val="top"/>
          </w:tcPr>
          <w:p w14:paraId="09FB1AC7" w14:textId="762051FE" w:rsidR="005F1D7B" w:rsidRPr="002B79F5" w:rsidRDefault="005F1D7B" w:rsidP="005F1D7B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2B79F5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 xml:space="preserve">11. Czy, a jeżeli tak, to jaki wpływ na realizację wsparcia w badanym obszarze miała sytuacja związana z epidemią COVID-19 oraz konfliktem </w:t>
            </w:r>
            <w:r w:rsidRPr="002B79F5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 xml:space="preserve">zbrojnym na terytorium Ukrainy? </w:t>
            </w:r>
          </w:p>
        </w:tc>
        <w:tc>
          <w:tcPr>
            <w:tcW w:w="3375" w:type="pct"/>
            <w:vAlign w:val="top"/>
          </w:tcPr>
          <w:p w14:paraId="732483BA" w14:textId="53550A34" w:rsidR="005F1D7B" w:rsidRPr="002B79F5" w:rsidRDefault="005F1D7B" w:rsidP="005F1D7B">
            <w:pPr>
              <w:spacing w:before="120" w:after="120"/>
              <w:ind w:left="113" w:right="113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2B79F5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 xml:space="preserve">Epidemia COVID-19 oraz wojna w Ukrainie to dwa najważniejsze </w:t>
            </w:r>
            <w:r w:rsidR="007D1C3F">
              <w:rPr>
                <w:rFonts w:eastAsia="Calibri" w:cstheme="minorHAnsi"/>
                <w:sz w:val="22"/>
                <w:szCs w:val="22"/>
                <w:lang w:val="pl-PL"/>
              </w:rPr>
              <w:t>czynniki</w:t>
            </w:r>
            <w:r w:rsidRPr="002B79F5">
              <w:rPr>
                <w:rFonts w:eastAsia="Calibri" w:cstheme="minorHAnsi"/>
                <w:sz w:val="22"/>
                <w:szCs w:val="22"/>
                <w:lang w:val="pl-PL"/>
              </w:rPr>
              <w:t xml:space="preserve">, które w ostatnich latach kształtują rzeczywistość w Polsce. Jak wynika z badań, co piąty beneficjent realizujący projekty w zakresie rewitalizacji odczuł skutki pandemii. W przypadku działań infrastrukturalnych wiązało się to z opóźnieniami w pracach budowlanych i modernizacyjnych </w:t>
            </w:r>
            <w:r w:rsidRPr="002B79F5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(wynikających z ograniczeń w funkcjonowaniu, jak również z zerwanych lub opóźnionych łańcuchów dostaw). W przypadku projektów realizowanych ze środków EFS trudności dotyczyły ograniczeń w zakresie bezpośrednich spotkań.</w:t>
            </w:r>
          </w:p>
          <w:p w14:paraId="0FBAFE37" w14:textId="00754D2D" w:rsidR="005F1D7B" w:rsidRPr="002B79F5" w:rsidRDefault="005F1D7B" w:rsidP="005F1D7B">
            <w:pPr>
              <w:spacing w:before="120" w:after="120"/>
              <w:ind w:left="113" w:right="113"/>
              <w:rPr>
                <w:rFonts w:cstheme="minorHAnsi"/>
                <w:sz w:val="22"/>
                <w:szCs w:val="22"/>
                <w:lang w:val="pl-PL" w:eastAsia="pl-PL"/>
              </w:rPr>
            </w:pP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Drugim elementem, który potencjalnie mógł wpływać na działania z zakresu rewitalizacji jest wojna w Ukrainie. Spowodowała ona znaczny napływ migrantów z tego kraju, przede wszystkim do województwa podkarpackiego. Z uwagi na fakt, że w momencie </w:t>
            </w:r>
            <w:r w:rsidR="007D1C3F">
              <w:rPr>
                <w:rFonts w:cstheme="minorHAnsi"/>
                <w:sz w:val="22"/>
                <w:szCs w:val="22"/>
                <w:lang w:val="pl-PL" w:eastAsia="pl-PL"/>
              </w:rPr>
              <w:t xml:space="preserve">wybuchu 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>wojny projekty zmierzały już ku zakończeniu, wojna nie stanowiła istotnego czynnika, który na ni</w:t>
            </w:r>
            <w:r w:rsidR="007D1C3F">
              <w:rPr>
                <w:rFonts w:cstheme="minorHAnsi"/>
                <w:sz w:val="22"/>
                <w:szCs w:val="22"/>
                <w:lang w:val="pl-PL" w:eastAsia="pl-PL"/>
              </w:rPr>
              <w:t>e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 wpływał. Możliwe jednak, że w późniejszym czasie zostaną zaobserwowane negatywne jej skutki w kontekście społecznym (np. wzrost wykluczenia społecznego niektórych grup osób, dezintegracja społeczna itp.) – na razie nie obserwuje się jednak takiego wpływu (więcej w rozd</w:t>
            </w:r>
            <w:r w:rsidR="00D23935">
              <w:rPr>
                <w:rFonts w:cstheme="minorHAnsi"/>
                <w:sz w:val="22"/>
                <w:szCs w:val="22"/>
                <w:lang w:val="pl-PL" w:eastAsia="pl-PL"/>
              </w:rPr>
              <w:t>z</w:t>
            </w:r>
            <w:r w:rsidRPr="002B79F5">
              <w:rPr>
                <w:rFonts w:cstheme="minorHAnsi"/>
                <w:sz w:val="22"/>
                <w:szCs w:val="22"/>
                <w:lang w:val="pl-PL" w:eastAsia="pl-PL"/>
              </w:rPr>
              <w:t xml:space="preserve">. </w:t>
            </w:r>
            <w:r w:rsidR="00252457">
              <w:rPr>
                <w:rFonts w:cstheme="minorHAnsi"/>
                <w:sz w:val="22"/>
                <w:szCs w:val="22"/>
                <w:lang w:val="pl-PL" w:eastAsia="pl-PL"/>
              </w:rPr>
              <w:t>3.2)</w:t>
            </w:r>
            <w:r w:rsidR="007D1C3F">
              <w:rPr>
                <w:rFonts w:cstheme="minorHAnsi"/>
                <w:sz w:val="22"/>
                <w:szCs w:val="22"/>
                <w:lang w:val="pl-PL" w:eastAsia="pl-PL"/>
              </w:rPr>
              <w:t>.</w:t>
            </w:r>
          </w:p>
        </w:tc>
      </w:tr>
    </w:tbl>
    <w:p w14:paraId="36DCE19B" w14:textId="3467ABD5" w:rsidR="00F93848" w:rsidRPr="00872340" w:rsidRDefault="00B149F1" w:rsidP="00F93848">
      <w:pPr>
        <w:rPr>
          <w:sz w:val="24"/>
          <w:szCs w:val="24"/>
        </w:rPr>
      </w:pPr>
      <w:r w:rsidRPr="00872340">
        <w:rPr>
          <w:sz w:val="24"/>
          <w:szCs w:val="24"/>
        </w:rPr>
        <w:lastRenderedPageBreak/>
        <w:t>Źródło: opracowanie własne.</w:t>
      </w:r>
    </w:p>
    <w:p w14:paraId="52C7B546" w14:textId="77777777" w:rsidR="00F93848" w:rsidRDefault="00F93848" w:rsidP="00F93848"/>
    <w:p w14:paraId="52822096" w14:textId="77777777" w:rsidR="00F93848" w:rsidRDefault="00F93848" w:rsidP="00F93848"/>
    <w:p w14:paraId="130B9374" w14:textId="77777777" w:rsidR="00AC3289" w:rsidRDefault="00AC3289"/>
    <w:sectPr w:rsidR="00AC32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91AF" w14:textId="77777777" w:rsidR="002B79F5" w:rsidRDefault="002B79F5" w:rsidP="002B79F5">
      <w:pPr>
        <w:spacing w:after="0" w:line="240" w:lineRule="auto"/>
      </w:pPr>
      <w:r>
        <w:separator/>
      </w:r>
    </w:p>
  </w:endnote>
  <w:endnote w:type="continuationSeparator" w:id="0">
    <w:p w14:paraId="12F4B11A" w14:textId="77777777" w:rsidR="002B79F5" w:rsidRDefault="002B79F5" w:rsidP="002B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6FDF" w14:textId="77777777" w:rsidR="002B79F5" w:rsidRDefault="002B79F5" w:rsidP="002B79F5">
      <w:pPr>
        <w:spacing w:after="0" w:line="240" w:lineRule="auto"/>
      </w:pPr>
      <w:r>
        <w:separator/>
      </w:r>
    </w:p>
  </w:footnote>
  <w:footnote w:type="continuationSeparator" w:id="0">
    <w:p w14:paraId="1AE664FC" w14:textId="77777777" w:rsidR="002B79F5" w:rsidRDefault="002B79F5" w:rsidP="002B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1462" w14:textId="2A1971D5" w:rsidR="002B79F5" w:rsidRDefault="002B79F5">
    <w:pPr>
      <w:pStyle w:val="Nagwek"/>
    </w:pPr>
    <w:r>
      <w:rPr>
        <w:noProof/>
      </w:rPr>
      <w:drawing>
        <wp:inline distT="0" distB="0" distL="0" distR="0" wp14:anchorId="2D30CD0D" wp14:editId="443728F0">
          <wp:extent cx="5613400" cy="447040"/>
          <wp:effectExtent l="0" t="0" r="6350" b="0"/>
          <wp:docPr id="97" name="Obraz 97" descr="Logotypy składające się ze znaku Fundusze Europejskie z napisem Program Regionalny, znaku barw Rzeczypospolitej Polskiej składającego się z symbolu graficznego oraz nazwy Rzeczpospolita Polska, logo promocyjnego województwa podkarpackiego z podpisem Podkarpackie przestrzeń otwarta, znaku Unii Europejskiej z napisem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Obraz 97" descr="Logotypy składające się ze znaku Fundusze Europejskie z napisem Program Regionalny, znaku barw Rzeczypospolitej Polskiej składającego się z symbolu graficznego oraz nazwy Rzeczpospolita Polska, logo promocyjnego województwa podkarpackiego z podpisem Podkarpackie przestrzeń otwarta, znaku Unii Europejskiej z napisem Europejskie Fundusze Strukturalne i Inwestycyj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11894"/>
    <w:multiLevelType w:val="multilevel"/>
    <w:tmpl w:val="A960689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656300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2MTE1tzA1MDAztLRU0lEKTi0uzszPAykwrAUAd6RDpiwAAAA="/>
  </w:docVars>
  <w:rsids>
    <w:rsidRoot w:val="00241C20"/>
    <w:rsid w:val="00012282"/>
    <w:rsid w:val="00060DAB"/>
    <w:rsid w:val="000876D2"/>
    <w:rsid w:val="000C0896"/>
    <w:rsid w:val="001356FF"/>
    <w:rsid w:val="00223B33"/>
    <w:rsid w:val="00241C20"/>
    <w:rsid w:val="00252457"/>
    <w:rsid w:val="002B6762"/>
    <w:rsid w:val="002B79F5"/>
    <w:rsid w:val="002B7DA4"/>
    <w:rsid w:val="00351CB5"/>
    <w:rsid w:val="003C29A6"/>
    <w:rsid w:val="003E3425"/>
    <w:rsid w:val="0053705E"/>
    <w:rsid w:val="005661A1"/>
    <w:rsid w:val="005C7889"/>
    <w:rsid w:val="005F1D7B"/>
    <w:rsid w:val="00647E84"/>
    <w:rsid w:val="006B26EB"/>
    <w:rsid w:val="006B3131"/>
    <w:rsid w:val="007B6005"/>
    <w:rsid w:val="007D1C3F"/>
    <w:rsid w:val="008068BF"/>
    <w:rsid w:val="00842B9A"/>
    <w:rsid w:val="00872340"/>
    <w:rsid w:val="008F5B83"/>
    <w:rsid w:val="009747BE"/>
    <w:rsid w:val="009A0094"/>
    <w:rsid w:val="00A10BE2"/>
    <w:rsid w:val="00A6232D"/>
    <w:rsid w:val="00AA127D"/>
    <w:rsid w:val="00AC3289"/>
    <w:rsid w:val="00B149F1"/>
    <w:rsid w:val="00B54C4E"/>
    <w:rsid w:val="00B709D9"/>
    <w:rsid w:val="00BB4C20"/>
    <w:rsid w:val="00BD11A7"/>
    <w:rsid w:val="00BE6C8D"/>
    <w:rsid w:val="00BF4B02"/>
    <w:rsid w:val="00BF6E16"/>
    <w:rsid w:val="00C873EF"/>
    <w:rsid w:val="00CC1696"/>
    <w:rsid w:val="00CC6088"/>
    <w:rsid w:val="00CE1823"/>
    <w:rsid w:val="00D07935"/>
    <w:rsid w:val="00D23935"/>
    <w:rsid w:val="00D328DB"/>
    <w:rsid w:val="00D75A8A"/>
    <w:rsid w:val="00D75AAF"/>
    <w:rsid w:val="00D93AE8"/>
    <w:rsid w:val="00E21F41"/>
    <w:rsid w:val="00E5159E"/>
    <w:rsid w:val="00EE1592"/>
    <w:rsid w:val="00F044DA"/>
    <w:rsid w:val="00F83957"/>
    <w:rsid w:val="00F93848"/>
    <w:rsid w:val="00F955D7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92E9"/>
  <w15:chartTrackingRefBased/>
  <w15:docId w15:val="{C3427E9E-F6EB-413B-8CC6-11205015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84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9384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72340"/>
    <w:pPr>
      <w:keepLines/>
      <w:spacing w:before="120" w:after="120"/>
      <w:ind w:left="576" w:hanging="576"/>
      <w:outlineLvl w:val="1"/>
    </w:pPr>
    <w:rPr>
      <w:rFonts w:eastAsiaTheme="majorEastAsia" w:cstheme="minorHAnsi"/>
      <w:b/>
      <w:color w:val="2F5496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F93848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inorHAns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384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384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384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384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384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384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corysz">
    <w:name w:val="Ecorysz"/>
    <w:basedOn w:val="Standardowy"/>
    <w:uiPriority w:val="99"/>
    <w:rsid w:val="00CE1823"/>
    <w:pPr>
      <w:spacing w:after="0" w:line="240" w:lineRule="auto"/>
    </w:pPr>
    <w:tblPr/>
  </w:style>
  <w:style w:type="table" w:customStyle="1" w:styleId="EPLtabela1">
    <w:name w:val="EPL tabela 1"/>
    <w:basedOn w:val="Standardowy"/>
    <w:uiPriority w:val="99"/>
    <w:rsid w:val="00CE1823"/>
    <w:pPr>
      <w:spacing w:after="0" w:line="240" w:lineRule="auto"/>
    </w:pPr>
    <w:rPr>
      <w:rFonts w:eastAsiaTheme="minorEastAsia"/>
      <w:sz w:val="16"/>
      <w:szCs w:val="20"/>
      <w:lang w:val="en-US"/>
    </w:rPr>
    <w:tblPr>
      <w:tblStyleRowBandSize w:val="1"/>
      <w:tblInd w:w="0" w:type="nil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4472C4" w:themeFill="accent1"/>
      <w:vAlign w:val="center"/>
    </w:tcPr>
    <w:tblStylePr w:type="firstRow">
      <w:pPr>
        <w:wordWrap/>
        <w:jc w:val="left"/>
      </w:pPr>
      <w:rPr>
        <w:rFonts w:asciiTheme="minorHAnsi" w:hAnsiTheme="minorHAnsi" w:cs="Calibri" w:hint="default"/>
        <w:b/>
        <w:color w:val="FFFFFF" w:themeColor="background1"/>
        <w:sz w:val="16"/>
        <w:szCs w:val="16"/>
      </w:rPr>
      <w:tblPr/>
      <w:tcPr>
        <w:shd w:val="clear" w:color="auto" w:fill="0073BA"/>
      </w:tcPr>
    </w:tblStylePr>
    <w:tblStylePr w:type="band1Horz">
      <w:tblPr/>
      <w:tcPr>
        <w:shd w:val="clear" w:color="auto" w:fill="DEDEDE"/>
      </w:tcPr>
    </w:tblStylePr>
    <w:tblStylePr w:type="band2Horz">
      <w:tblPr/>
      <w:tcPr>
        <w:shd w:val="clear" w:color="auto" w:fill="F1F1F1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F93848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340"/>
    <w:rPr>
      <w:rFonts w:eastAsiaTheme="majorEastAsia" w:cstheme="minorHAnsi"/>
      <w:b/>
      <w:color w:val="2F5496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3848"/>
    <w:rPr>
      <w:rFonts w:eastAsiaTheme="majorEastAsia" w:cstheme="minorHAns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38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384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384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384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38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38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link w:val="DefaultZnak"/>
    <w:rsid w:val="00F938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F93848"/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7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F5"/>
  </w:style>
  <w:style w:type="paragraph" w:styleId="Stopka">
    <w:name w:val="footer"/>
    <w:basedOn w:val="Normalny"/>
    <w:link w:val="StopkaZnak"/>
    <w:uiPriority w:val="99"/>
    <w:unhideWhenUsed/>
    <w:rsid w:val="002B7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F5"/>
  </w:style>
  <w:style w:type="paragraph" w:styleId="Poprawka">
    <w:name w:val="Revision"/>
    <w:hidden/>
    <w:uiPriority w:val="99"/>
    <w:semiHidden/>
    <w:rsid w:val="00F044D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2963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prezentująca syntatyczne odpowiedzi na pytania badawcze</vt:lpstr>
    </vt:vector>
  </TitlesOfParts>
  <Company/>
  <LinksUpToDate>false</LinksUpToDate>
  <CharactersWithSpaces>20700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prezentująca syntatyczne odpowiedzi na pytania badawcze</dc:title>
  <dc:subject/>
  <dc:creator>Katarzyna Lipczynska</dc:creator>
  <cp:keywords/>
  <dc:description/>
  <cp:lastModifiedBy>Katarzyna Lipczynska</cp:lastModifiedBy>
  <cp:revision>31</cp:revision>
  <dcterms:created xsi:type="dcterms:W3CDTF">2023-07-27T08:05:00Z</dcterms:created>
  <dcterms:modified xsi:type="dcterms:W3CDTF">2023-09-05T11:01:00Z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d887ff0c195a9abcf3a3d3d4784e294085a846fdd5acc81ebc4435d89b685ecf</vt:lpwstr>
  </property>
</Properties>
</file>