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14" w:rsidRPr="002E1CAA" w:rsidRDefault="002E1CAA" w:rsidP="002E1CAA">
      <w:pPr>
        <w:jc w:val="right"/>
        <w:rPr>
          <w:rFonts w:ascii="Arial" w:hAnsi="Arial" w:cs="Arial"/>
          <w:b/>
          <w:sz w:val="20"/>
          <w:szCs w:val="20"/>
        </w:rPr>
      </w:pPr>
      <w:r w:rsidRPr="002E1CAA">
        <w:rPr>
          <w:rFonts w:ascii="Arial" w:hAnsi="Arial" w:cs="Arial"/>
          <w:b/>
          <w:sz w:val="20"/>
          <w:szCs w:val="20"/>
        </w:rPr>
        <w:t xml:space="preserve">Załącznik nr </w:t>
      </w:r>
      <w:r w:rsidR="00CC66E4">
        <w:rPr>
          <w:rFonts w:ascii="Arial" w:hAnsi="Arial" w:cs="Arial"/>
          <w:b/>
          <w:sz w:val="20"/>
          <w:szCs w:val="20"/>
        </w:rPr>
        <w:t>1</w:t>
      </w:r>
    </w:p>
    <w:p w:rsidR="006A7050" w:rsidRPr="002E1CAA" w:rsidRDefault="00DC3714" w:rsidP="006A70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1CAA">
        <w:rPr>
          <w:rFonts w:ascii="Arial" w:hAnsi="Arial" w:cs="Arial"/>
          <w:b/>
          <w:sz w:val="20"/>
          <w:szCs w:val="20"/>
        </w:rPr>
        <w:t>Wspólna lista wskaźników produktu dla pomocy technicznej</w:t>
      </w:r>
      <w:r w:rsidR="000C6EEE">
        <w:rPr>
          <w:rFonts w:ascii="Arial" w:hAnsi="Arial" w:cs="Arial"/>
          <w:b/>
          <w:sz w:val="20"/>
          <w:szCs w:val="20"/>
        </w:rPr>
        <w:t xml:space="preserve"> wybranych w SZOOP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425"/>
        <w:gridCol w:w="1985"/>
        <w:gridCol w:w="7230"/>
        <w:gridCol w:w="850"/>
      </w:tblGrid>
      <w:tr w:rsidR="006A7050" w:rsidRPr="00DC3714" w:rsidTr="00174FFE">
        <w:tc>
          <w:tcPr>
            <w:tcW w:w="425" w:type="dxa"/>
            <w:shd w:val="clear" w:color="auto" w:fill="DBE5F1" w:themeFill="accent1" w:themeFillTint="33"/>
            <w:vAlign w:val="center"/>
          </w:tcPr>
          <w:p w:rsidR="006A7050" w:rsidRPr="00014A9A" w:rsidRDefault="006A7050" w:rsidP="00174FF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14A9A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6A7050" w:rsidRPr="00014A9A" w:rsidRDefault="006A7050" w:rsidP="00174F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14A9A">
              <w:rPr>
                <w:rFonts w:ascii="Arial" w:hAnsi="Arial" w:cs="Arial"/>
                <w:b/>
                <w:sz w:val="18"/>
                <w:szCs w:val="20"/>
              </w:rPr>
              <w:t>Nazwa</w:t>
            </w:r>
          </w:p>
        </w:tc>
        <w:tc>
          <w:tcPr>
            <w:tcW w:w="7230" w:type="dxa"/>
            <w:shd w:val="clear" w:color="auto" w:fill="DBE5F1" w:themeFill="accent1" w:themeFillTint="33"/>
            <w:vAlign w:val="center"/>
          </w:tcPr>
          <w:p w:rsidR="006A7050" w:rsidRPr="00014A9A" w:rsidRDefault="006A7050" w:rsidP="00174F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14A9A">
              <w:rPr>
                <w:rFonts w:ascii="Arial" w:hAnsi="Arial" w:cs="Arial"/>
                <w:b/>
                <w:sz w:val="18"/>
                <w:szCs w:val="20"/>
              </w:rPr>
              <w:t>Definicja i sposób pomiaru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A7050" w:rsidRPr="00E702C8" w:rsidRDefault="006A7050" w:rsidP="00174FF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AA">
              <w:rPr>
                <w:rFonts w:ascii="Arial" w:hAnsi="Arial" w:cs="Arial"/>
                <w:b/>
                <w:sz w:val="16"/>
                <w:szCs w:val="16"/>
              </w:rPr>
              <w:t>Jednostka pomiaru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Pr="00DC3714" w:rsidRDefault="006A7050" w:rsidP="00174FFE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etatomiesięcy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finansowanych 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środków pomocy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technicznej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Wartość wskaźnika liczona jest poprzez zsumowanie liczby etatomiesięcy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dla poszczególnych stanowisk finansowanych ze środków pomocy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technicznej.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W = LE1 + LE2 + ….+ LEN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W – wartość wskaźnika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LE – liczba etatomiesięcy dla stanowiska pracy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 xml:space="preserve">Liczba etatomiesięcy liczona jest poprzez przemnożenie wymiaru etatu przez poziom </w:t>
            </w:r>
            <w:proofErr w:type="spellStart"/>
            <w:r w:rsidRPr="00E702C8">
              <w:rPr>
                <w:rFonts w:ascii="Arial" w:hAnsi="Arial" w:cs="Arial"/>
                <w:sz w:val="16"/>
                <w:szCs w:val="16"/>
              </w:rPr>
              <w:t>kwalifikowalności</w:t>
            </w:r>
            <w:proofErr w:type="spellEnd"/>
            <w:r w:rsidRPr="00E702C8">
              <w:rPr>
                <w:rFonts w:ascii="Arial" w:hAnsi="Arial" w:cs="Arial"/>
                <w:sz w:val="16"/>
                <w:szCs w:val="16"/>
              </w:rPr>
              <w:t xml:space="preserve"> oraz liczbę przepracowanych miesięcy dla </w:t>
            </w:r>
            <w:r>
              <w:rPr>
                <w:rFonts w:ascii="Arial" w:hAnsi="Arial" w:cs="Arial"/>
                <w:sz w:val="16"/>
                <w:szCs w:val="16"/>
              </w:rPr>
              <w:t>stanowiska finansowanego ze </w:t>
            </w:r>
            <w:r w:rsidRPr="00E702C8">
              <w:rPr>
                <w:rFonts w:ascii="Arial" w:hAnsi="Arial" w:cs="Arial"/>
                <w:sz w:val="16"/>
                <w:szCs w:val="16"/>
              </w:rPr>
              <w:t>środków pomocy technicznej.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LE = A * B * C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LE – liczba etatomiesięcy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A – wymiar etatu (np. 1; 0,5; 0,25)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 xml:space="preserve">B – poziom </w:t>
            </w:r>
            <w:proofErr w:type="spellStart"/>
            <w:r w:rsidRPr="00E702C8">
              <w:rPr>
                <w:rFonts w:ascii="Arial" w:hAnsi="Arial" w:cs="Arial"/>
                <w:sz w:val="16"/>
                <w:szCs w:val="16"/>
              </w:rPr>
              <w:t>kwalifikowalności</w:t>
            </w:r>
            <w:proofErr w:type="spellEnd"/>
            <w:r w:rsidRPr="00E702C8">
              <w:rPr>
                <w:rFonts w:ascii="Arial" w:hAnsi="Arial" w:cs="Arial"/>
                <w:sz w:val="16"/>
                <w:szCs w:val="16"/>
              </w:rPr>
              <w:t xml:space="preserve"> stanowiska (np. 1; 0,75; 0,50)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C – liczba przepracowanych miesięcy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Zliczane są wyłącznie etaty w ramach umowy o pracę.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 xml:space="preserve">W przypadku zmiany poziomu </w:t>
            </w:r>
            <w:proofErr w:type="spellStart"/>
            <w:r w:rsidRPr="00E702C8">
              <w:rPr>
                <w:rFonts w:ascii="Arial" w:hAnsi="Arial" w:cs="Arial"/>
                <w:sz w:val="16"/>
                <w:szCs w:val="16"/>
              </w:rPr>
              <w:t>kwalifikowalności</w:t>
            </w:r>
            <w:proofErr w:type="spellEnd"/>
            <w:r w:rsidRPr="00E702C8">
              <w:rPr>
                <w:rFonts w:ascii="Arial" w:hAnsi="Arial" w:cs="Arial"/>
                <w:sz w:val="16"/>
                <w:szCs w:val="16"/>
              </w:rPr>
              <w:t xml:space="preserve"> lub wymiaru etatu w ciągu miesiąca, dla całego miesiąca przyjmowany jest poziom obowiązujący na ostatni dzień tego miesiąca.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Nie ma możliwości dzielenia miesiąca tj. nawet jak pracownik przepracował tylko kilka dni w danym miesiącu jest on w całości wliczany do wartości wskaźnika. W tym przypadku wynagrodzenie jest współfinansowane w sposób proporcjonalny.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Do wskaźnika nie wliczane są okresy, w których nie są ponoszone koszty w związku z płacą zasadniczą. W przypadku, gdy w danej instytucji obowiązują karty czasu pracy liczbę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 xml:space="preserve">etatomiesięcy finansowanych ze środków pomocy technicznej wylicza się na podstawie średniomiesięcznego poziomu </w:t>
            </w:r>
            <w:proofErr w:type="spellStart"/>
            <w:r w:rsidRPr="00E702C8">
              <w:rPr>
                <w:rFonts w:ascii="Arial" w:hAnsi="Arial" w:cs="Arial"/>
                <w:sz w:val="16"/>
                <w:szCs w:val="16"/>
              </w:rPr>
              <w:t>kwalifikowalności</w:t>
            </w:r>
            <w:proofErr w:type="spellEnd"/>
            <w:r w:rsidRPr="00E702C8">
              <w:rPr>
                <w:rFonts w:ascii="Arial" w:hAnsi="Arial" w:cs="Arial"/>
                <w:sz w:val="16"/>
                <w:szCs w:val="16"/>
              </w:rPr>
              <w:t xml:space="preserve"> stanowiska.</w:t>
            </w:r>
          </w:p>
        </w:tc>
        <w:tc>
          <w:tcPr>
            <w:tcW w:w="850" w:type="dxa"/>
            <w:vAlign w:val="center"/>
          </w:tcPr>
          <w:p w:rsidR="006A7050" w:rsidRPr="00DC3714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71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Default="006A7050" w:rsidP="00174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 uczestników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form szkoleniowych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dla instytucji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Obliczając wartość wskaźnika należy zsumować wszystkich uczestników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 xml:space="preserve">wszystkich form szkoleniowych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przeprowadzonych dla pracowników </w:t>
            </w:r>
            <w:r w:rsidRPr="00E702C8">
              <w:rPr>
                <w:rFonts w:ascii="Arial" w:hAnsi="Arial" w:cs="Arial"/>
                <w:sz w:val="16"/>
                <w:szCs w:val="16"/>
              </w:rPr>
              <w:t>instytucji (tj. szkoleń, warsztatów, seminariów, kursów, studiów itp.)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finansowanych ze środków pomocy technicznej. Dana osoba powinna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zostać policzona tyle razy w ilu szkoleniach wzięła udział.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Wskaźnik naliczany jest w momencie pierwszej płatności za szkolenie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niezależnie od tego czy uczestnik szkolenia otrzymał stosowny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certyfikat/dyplom, a w przypadku jego braku zaświadczenie od instytucji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przeprowadzającej szkolenie (podpisana lista obecności jest równoważna</w:t>
            </w:r>
            <w:r>
              <w:rPr>
                <w:rFonts w:ascii="Arial" w:hAnsi="Arial" w:cs="Arial"/>
                <w:sz w:val="16"/>
                <w:szCs w:val="16"/>
              </w:rPr>
              <w:t xml:space="preserve"> z </w:t>
            </w:r>
            <w:r w:rsidRPr="00E702C8">
              <w:rPr>
                <w:rFonts w:ascii="Arial" w:hAnsi="Arial" w:cs="Arial"/>
                <w:sz w:val="16"/>
                <w:szCs w:val="16"/>
              </w:rPr>
              <w:t>zaświadczeniem od instytucji przeprowadzającej szkolenie). Należy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jednak zobowiązać uczestnika do uzupełnienia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certyfikatu/dyplom</w:t>
            </w:r>
            <w:r>
              <w:rPr>
                <w:rFonts w:ascii="Arial" w:hAnsi="Arial" w:cs="Arial"/>
                <w:sz w:val="16"/>
                <w:szCs w:val="16"/>
              </w:rPr>
              <w:t>u/zaświadczenia niezwłocznie po </w:t>
            </w:r>
            <w:r w:rsidRPr="00E702C8">
              <w:rPr>
                <w:rFonts w:ascii="Arial" w:hAnsi="Arial" w:cs="Arial"/>
                <w:sz w:val="16"/>
                <w:szCs w:val="16"/>
              </w:rPr>
              <w:t>ich wydaniu.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Certyfikat/dyplom/zaświadczenie (lub potwierdzona za zgodność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z oryginałem kserokopia) są </w:t>
            </w:r>
            <w:r w:rsidRPr="00E702C8">
              <w:rPr>
                <w:rFonts w:ascii="Arial" w:hAnsi="Arial" w:cs="Arial"/>
                <w:sz w:val="16"/>
                <w:szCs w:val="16"/>
              </w:rPr>
              <w:t>przechowywane u beneficjenta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i udostępniane kontrolerom projektu. Ich brak skutkuje nieprawidłowością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 projekcie i obniżeniem wartości wskaźnika.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Do wartości wskaźnika nie są liczeni uczestnicy szkoleń zatrudnieni 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podstawie umów cywilno-prawnych.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Poprzez „instytucje” rozumiane są instytucje funkcjonujące w systemie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wdrażania polityki spójności w latach 2014-2020 w Polsce tj. np.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 xml:space="preserve">Zarządzające, Instytucje Pośredniczące, Instytucja </w:t>
            </w:r>
            <w:proofErr w:type="spellStart"/>
            <w:r w:rsidRPr="00E702C8">
              <w:rPr>
                <w:rFonts w:ascii="Arial" w:hAnsi="Arial" w:cs="Arial"/>
                <w:sz w:val="16"/>
                <w:szCs w:val="16"/>
              </w:rPr>
              <w:t>Audytowa</w:t>
            </w:r>
            <w:proofErr w:type="spellEnd"/>
            <w:r w:rsidRPr="00E702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6A7050" w:rsidRPr="002E1CAA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Default="006A7050" w:rsidP="00174FFE">
            <w:pPr>
              <w:rPr>
                <w:rFonts w:ascii="Arial" w:hAnsi="Arial" w:cs="Arial"/>
              </w:rPr>
            </w:pPr>
            <w:r w:rsidRPr="00B8527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przeprowadzonych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ewaluacji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Do wartości wskaźnika wliczane są</w:t>
            </w:r>
            <w:r>
              <w:rPr>
                <w:rFonts w:ascii="Arial" w:hAnsi="Arial" w:cs="Arial"/>
                <w:sz w:val="16"/>
                <w:szCs w:val="16"/>
              </w:rPr>
              <w:t xml:space="preserve"> wszystkie badania ewaluacyjne </w:t>
            </w:r>
            <w:r w:rsidRPr="00E702C8">
              <w:rPr>
                <w:rFonts w:ascii="Arial" w:hAnsi="Arial" w:cs="Arial"/>
                <w:sz w:val="16"/>
                <w:szCs w:val="16"/>
              </w:rPr>
              <w:t>finansowane ze środków pomocy technicznej polegają</w:t>
            </w:r>
            <w:r>
              <w:rPr>
                <w:rFonts w:ascii="Arial" w:hAnsi="Arial" w:cs="Arial"/>
                <w:sz w:val="16"/>
                <w:szCs w:val="16"/>
              </w:rPr>
              <w:t xml:space="preserve">ce na analizie i </w:t>
            </w:r>
            <w:r w:rsidRPr="00E702C8">
              <w:rPr>
                <w:rFonts w:ascii="Arial" w:hAnsi="Arial" w:cs="Arial"/>
                <w:sz w:val="16"/>
                <w:szCs w:val="16"/>
              </w:rPr>
              <w:t>ocenie skuteczności, efektywnoś</w:t>
            </w:r>
            <w:r>
              <w:rPr>
                <w:rFonts w:ascii="Arial" w:hAnsi="Arial" w:cs="Arial"/>
                <w:sz w:val="16"/>
                <w:szCs w:val="16"/>
              </w:rPr>
              <w:t xml:space="preserve">ci, </w:t>
            </w:r>
            <w:r w:rsidRPr="00E702C8">
              <w:rPr>
                <w:rFonts w:ascii="Arial" w:hAnsi="Arial" w:cs="Arial"/>
                <w:sz w:val="16"/>
                <w:szCs w:val="16"/>
              </w:rPr>
              <w:t>użyteczności, trafności lub trwałoś</w:t>
            </w:r>
            <w:r>
              <w:rPr>
                <w:rFonts w:ascii="Arial" w:hAnsi="Arial" w:cs="Arial"/>
                <w:sz w:val="16"/>
                <w:szCs w:val="16"/>
              </w:rPr>
              <w:t xml:space="preserve">ci </w:t>
            </w:r>
            <w:r w:rsidRPr="00E702C8">
              <w:rPr>
                <w:rFonts w:ascii="Arial" w:hAnsi="Arial" w:cs="Arial"/>
                <w:sz w:val="16"/>
                <w:szCs w:val="16"/>
              </w:rPr>
              <w:t>interwencji publicznych realizowanych w ramach polityki spójnoś</w:t>
            </w:r>
            <w:r>
              <w:rPr>
                <w:rFonts w:ascii="Arial" w:hAnsi="Arial" w:cs="Arial"/>
                <w:sz w:val="16"/>
                <w:szCs w:val="16"/>
              </w:rPr>
              <w:t xml:space="preserve">ci, </w:t>
            </w:r>
            <w:r w:rsidRPr="00E702C8">
              <w:rPr>
                <w:rFonts w:ascii="Arial" w:hAnsi="Arial" w:cs="Arial"/>
                <w:sz w:val="16"/>
                <w:szCs w:val="16"/>
              </w:rPr>
              <w:t>służące poprawie jakości ich programowania i wdraż</w:t>
            </w:r>
            <w:r>
              <w:rPr>
                <w:rFonts w:ascii="Arial" w:hAnsi="Arial" w:cs="Arial"/>
                <w:sz w:val="16"/>
                <w:szCs w:val="16"/>
              </w:rPr>
              <w:t xml:space="preserve">ania. Ewaluacje </w:t>
            </w:r>
            <w:r w:rsidRPr="00E702C8">
              <w:rPr>
                <w:rFonts w:ascii="Arial" w:hAnsi="Arial" w:cs="Arial"/>
                <w:sz w:val="16"/>
                <w:szCs w:val="16"/>
              </w:rPr>
              <w:t>realizowane są na podstawie plan</w:t>
            </w:r>
            <w:r>
              <w:rPr>
                <w:rFonts w:ascii="Arial" w:hAnsi="Arial" w:cs="Arial"/>
                <w:sz w:val="16"/>
                <w:szCs w:val="16"/>
              </w:rPr>
              <w:t xml:space="preserve">ów ewaluacji, 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ewaluatorów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zewnętrznych lub wewnętrznych funkcjonalnie niezależ</w:t>
            </w:r>
            <w:r>
              <w:rPr>
                <w:rFonts w:ascii="Arial" w:hAnsi="Arial" w:cs="Arial"/>
                <w:sz w:val="16"/>
                <w:szCs w:val="16"/>
              </w:rPr>
              <w:t>nych od </w:t>
            </w:r>
            <w:r w:rsidRPr="00E702C8">
              <w:rPr>
                <w:rFonts w:ascii="Arial" w:hAnsi="Arial" w:cs="Arial"/>
                <w:sz w:val="16"/>
                <w:szCs w:val="16"/>
              </w:rPr>
              <w:t>podmiotów odpowiedzialnych za realizację</w:t>
            </w:r>
            <w:r>
              <w:rPr>
                <w:rFonts w:ascii="Arial" w:hAnsi="Arial" w:cs="Arial"/>
                <w:sz w:val="16"/>
                <w:szCs w:val="16"/>
              </w:rPr>
              <w:t xml:space="preserve"> programów </w:t>
            </w:r>
            <w:r w:rsidRPr="00E702C8">
              <w:rPr>
                <w:rFonts w:ascii="Arial" w:hAnsi="Arial" w:cs="Arial"/>
                <w:sz w:val="16"/>
                <w:szCs w:val="16"/>
              </w:rPr>
              <w:t>operacyjnych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6A7050" w:rsidRDefault="006A7050" w:rsidP="00174FFE">
            <w:pPr>
              <w:jc w:val="center"/>
              <w:rPr>
                <w:rFonts w:ascii="Arial" w:hAnsi="Arial" w:cs="Arial"/>
              </w:rPr>
            </w:pPr>
            <w:r w:rsidRPr="00DC371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Pr="00B8527F" w:rsidRDefault="006A7050" w:rsidP="00174FFE">
            <w:pPr>
              <w:rPr>
                <w:rFonts w:ascii="Arial" w:hAnsi="Arial" w:cs="Arial"/>
                <w:sz w:val="16"/>
                <w:szCs w:val="16"/>
              </w:rPr>
            </w:pPr>
            <w:r w:rsidRPr="00B8527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opracowanych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ekspertyz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Obliczając wartość wskaźnika należy zsumować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wszystkie ekspertyzy (tj. </w:t>
            </w:r>
            <w:r w:rsidRPr="00E702C8">
              <w:rPr>
                <w:rFonts w:ascii="Arial" w:hAnsi="Arial" w:cs="Arial"/>
                <w:sz w:val="16"/>
                <w:szCs w:val="16"/>
              </w:rPr>
              <w:t>sporządzone opinie, analizy, koncepcje, studia itp.), które zostały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 xml:space="preserve">zakończone wydaniem stosownego </w:t>
            </w:r>
            <w:r>
              <w:rPr>
                <w:rFonts w:ascii="Arial" w:hAnsi="Arial" w:cs="Arial"/>
                <w:sz w:val="16"/>
                <w:szCs w:val="16"/>
              </w:rPr>
              <w:t>dokumentu i </w:t>
            </w:r>
            <w:r w:rsidRPr="00E702C8">
              <w:rPr>
                <w:rFonts w:ascii="Arial" w:hAnsi="Arial" w:cs="Arial"/>
                <w:sz w:val="16"/>
                <w:szCs w:val="16"/>
              </w:rPr>
              <w:t>zostały sporządzone 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potrzeby instytucji lub partnerów będących członkami sieci tematycznych,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grup roboczych lub komitetów, a także innych ciał dialogu angażujących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partnerów, których działalność finansowana jest ze środków pomocy</w:t>
            </w:r>
            <w:r>
              <w:rPr>
                <w:rFonts w:ascii="Arial" w:hAnsi="Arial" w:cs="Arial"/>
                <w:sz w:val="16"/>
                <w:szCs w:val="16"/>
              </w:rPr>
              <w:t xml:space="preserve"> technicznej. Do </w:t>
            </w:r>
            <w:r w:rsidRPr="00E702C8">
              <w:rPr>
                <w:rFonts w:ascii="Arial" w:hAnsi="Arial" w:cs="Arial"/>
                <w:sz w:val="16"/>
                <w:szCs w:val="16"/>
              </w:rPr>
              <w:t>ekspertyz nie należy zaliczać ewaluacji, które są zliczane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 ramach wskaźnika „Liczba przeprowadzonych ewaluacji”.</w:t>
            </w:r>
          </w:p>
        </w:tc>
        <w:tc>
          <w:tcPr>
            <w:tcW w:w="850" w:type="dxa"/>
            <w:vAlign w:val="center"/>
          </w:tcPr>
          <w:p w:rsidR="006A7050" w:rsidRDefault="006A7050" w:rsidP="00174FFE">
            <w:pPr>
              <w:jc w:val="center"/>
              <w:rPr>
                <w:rFonts w:ascii="Arial" w:hAnsi="Arial" w:cs="Arial"/>
              </w:rPr>
            </w:pPr>
            <w:r w:rsidRPr="00DC371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Pr="00B8527F" w:rsidRDefault="006A7050" w:rsidP="00174FFE">
            <w:pPr>
              <w:rPr>
                <w:rFonts w:ascii="Arial" w:hAnsi="Arial" w:cs="Arial"/>
                <w:sz w:val="16"/>
                <w:szCs w:val="16"/>
              </w:rPr>
            </w:pPr>
            <w:r w:rsidRPr="00B8527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 zakupionych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urządzeń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elementów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wyposażenia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702C8">
              <w:rPr>
                <w:rFonts w:ascii="Arial" w:hAnsi="Arial" w:cs="Arial"/>
                <w:sz w:val="16"/>
                <w:szCs w:val="16"/>
              </w:rPr>
              <w:t>nowiska pracy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Do wartości wskaźnika wliczane są wszystkie urządzenia oraz elementy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wyposażenia stanowisk pracy (tj. w szczególności urządzenia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informatyczne, sprzęt biurowy, meble), które zostały opatrzone numerem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i umieszczone w ewidencji oraz które zostały sfinansowane ze środków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pomocy technicznej.</w:t>
            </w:r>
          </w:p>
        </w:tc>
        <w:tc>
          <w:tcPr>
            <w:tcW w:w="850" w:type="dxa"/>
            <w:vAlign w:val="center"/>
          </w:tcPr>
          <w:p w:rsidR="006A7050" w:rsidRDefault="006A7050" w:rsidP="00174FFE">
            <w:pPr>
              <w:jc w:val="center"/>
              <w:rPr>
                <w:rFonts w:ascii="Arial" w:hAnsi="Arial" w:cs="Arial"/>
              </w:rPr>
            </w:pPr>
            <w:r w:rsidRPr="00DC371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Pr="00B8527F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852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utworzonych lub dostosowanych systemów informatycznych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A9A">
              <w:rPr>
                <w:rFonts w:ascii="Arial" w:hAnsi="Arial" w:cs="Arial"/>
                <w:sz w:val="16"/>
                <w:szCs w:val="16"/>
              </w:rPr>
              <w:t>Do wartości wskaźnika wliczane są wszystkie systemy informatyczne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stworzone na potrzeby instytucji (za wyjątkiem krajowego Systemu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Informatycznego SL 2014) lub takie, które już istniały, a zostały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rozbudowane w celu ich dostosowania do wymogów wdrażania polityki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spójności. Stworzenie takich systemów lub ich rozbudowa jest wpisana</w:t>
            </w:r>
            <w:r>
              <w:rPr>
                <w:rFonts w:ascii="Arial" w:hAnsi="Arial" w:cs="Arial"/>
                <w:sz w:val="16"/>
                <w:szCs w:val="16"/>
              </w:rPr>
              <w:t xml:space="preserve"> w procedury instytucji, a </w:t>
            </w:r>
            <w:r w:rsidRPr="00014A9A">
              <w:rPr>
                <w:rFonts w:ascii="Arial" w:hAnsi="Arial" w:cs="Arial"/>
                <w:sz w:val="16"/>
                <w:szCs w:val="16"/>
              </w:rPr>
              <w:t>koszty zostały poniesione ze środków pomocy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technicznej. Fakt wsparcia danego sytemu informatycznego ze środków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pomocy technicznej zostaje odnotowany tylko raz tzn. jeżeli system został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utworzony ze środków pomocy technicznej to do wartości wskaźnika nie</w:t>
            </w:r>
            <w:r>
              <w:rPr>
                <w:rFonts w:ascii="Arial" w:hAnsi="Arial" w:cs="Arial"/>
                <w:sz w:val="16"/>
                <w:szCs w:val="16"/>
              </w:rPr>
              <w:t xml:space="preserve"> wliczane są jego </w:t>
            </w:r>
            <w:r w:rsidRPr="00014A9A">
              <w:rPr>
                <w:rFonts w:ascii="Arial" w:hAnsi="Arial" w:cs="Arial"/>
                <w:sz w:val="16"/>
                <w:szCs w:val="16"/>
              </w:rPr>
              <w:t>późniejsze, ewentualne rozbudowy. W przypadku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istniejących już systemów do wartości wskaźnika wliczana jest tylko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A9A">
              <w:rPr>
                <w:rFonts w:ascii="Arial" w:hAnsi="Arial" w:cs="Arial"/>
                <w:sz w:val="16"/>
                <w:szCs w:val="16"/>
              </w:rPr>
              <w:t>pierwsza rozbudowa finansowana ze środków pomocy technicznej.</w:t>
            </w:r>
          </w:p>
        </w:tc>
        <w:tc>
          <w:tcPr>
            <w:tcW w:w="850" w:type="dxa"/>
            <w:vAlign w:val="center"/>
          </w:tcPr>
          <w:p w:rsidR="006A7050" w:rsidRPr="00DC3714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Pr="00B8527F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852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 posiedzeń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sieci tematycznych,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Pr="00E702C8">
              <w:rPr>
                <w:rFonts w:ascii="Arial" w:hAnsi="Arial" w:cs="Arial"/>
                <w:sz w:val="16"/>
                <w:szCs w:val="16"/>
              </w:rPr>
              <w:t>rup roboczych,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komitetów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innych ciał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angażujących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partnerów</w:t>
            </w:r>
          </w:p>
        </w:tc>
        <w:tc>
          <w:tcPr>
            <w:tcW w:w="7230" w:type="dxa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Obliczając wartość wskaźnika należy zsumować liczbę zorganizowanych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posiedzeń sieci tematycznych, grup roboczych, komitetów oraz innych ciał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angażujących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partnerów, które są </w:t>
            </w:r>
            <w:r w:rsidRPr="00E702C8">
              <w:rPr>
                <w:rFonts w:ascii="Arial" w:hAnsi="Arial" w:cs="Arial"/>
                <w:sz w:val="16"/>
                <w:szCs w:val="16"/>
              </w:rPr>
              <w:t>finansowane ze środków pomocy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technicznej danego programu.</w:t>
            </w:r>
          </w:p>
        </w:tc>
        <w:tc>
          <w:tcPr>
            <w:tcW w:w="850" w:type="dxa"/>
            <w:vAlign w:val="center"/>
          </w:tcPr>
          <w:p w:rsidR="006A7050" w:rsidRDefault="006A7050" w:rsidP="00174FFE">
            <w:pPr>
              <w:jc w:val="center"/>
              <w:rPr>
                <w:rFonts w:ascii="Arial" w:hAnsi="Arial" w:cs="Arial"/>
              </w:rPr>
            </w:pPr>
            <w:r w:rsidRPr="00DC371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  <w:tr w:rsidR="006A7050" w:rsidTr="00174FFE">
        <w:tc>
          <w:tcPr>
            <w:tcW w:w="425" w:type="dxa"/>
            <w:vAlign w:val="center"/>
          </w:tcPr>
          <w:p w:rsidR="006A7050" w:rsidRPr="00B8527F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852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 uczestników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form szkoleniowych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dla beneficjentów</w:t>
            </w:r>
          </w:p>
        </w:tc>
        <w:tc>
          <w:tcPr>
            <w:tcW w:w="7230" w:type="dxa"/>
          </w:tcPr>
          <w:p w:rsidR="006A7050" w:rsidRPr="00E702C8" w:rsidRDefault="006A7050" w:rsidP="006A70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Obliczając wartość wskaźnika należy zsumować wszystkich uczestników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wszystkich form szkoleniowych dla beneficjentów lub potencjalnych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beneficjentów (tj. szkoleń, warsztatów, seminariów, kursów itp.)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finansowanych ze środków pomocy technicznej.</w:t>
            </w:r>
          </w:p>
        </w:tc>
        <w:tc>
          <w:tcPr>
            <w:tcW w:w="850" w:type="dxa"/>
            <w:vAlign w:val="center"/>
          </w:tcPr>
          <w:p w:rsidR="006A7050" w:rsidRDefault="006A7050" w:rsidP="00174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</w:t>
            </w:r>
          </w:p>
        </w:tc>
      </w:tr>
      <w:tr w:rsidR="006A7050" w:rsidTr="006A7050">
        <w:trPr>
          <w:trHeight w:val="60"/>
        </w:trPr>
        <w:tc>
          <w:tcPr>
            <w:tcW w:w="425" w:type="dxa"/>
            <w:vAlign w:val="center"/>
          </w:tcPr>
          <w:p w:rsidR="006A7050" w:rsidRPr="00B8527F" w:rsidRDefault="006A7050" w:rsidP="00174F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 działań</w:t>
            </w:r>
          </w:p>
          <w:p w:rsidR="006A7050" w:rsidRPr="00E702C8" w:rsidRDefault="006A7050" w:rsidP="00174F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Informacyjno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702C8">
              <w:rPr>
                <w:rFonts w:ascii="Arial" w:hAnsi="Arial" w:cs="Arial"/>
                <w:sz w:val="16"/>
                <w:szCs w:val="16"/>
              </w:rPr>
              <w:t>promocyjnych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702C8">
              <w:rPr>
                <w:rFonts w:ascii="Arial" w:hAnsi="Arial" w:cs="Arial"/>
                <w:sz w:val="16"/>
                <w:szCs w:val="16"/>
              </w:rPr>
              <w:t>szerokim zasięgu</w:t>
            </w:r>
          </w:p>
        </w:tc>
        <w:tc>
          <w:tcPr>
            <w:tcW w:w="7230" w:type="dxa"/>
          </w:tcPr>
          <w:p w:rsidR="006A7050" w:rsidRPr="00E702C8" w:rsidRDefault="006A7050" w:rsidP="006A70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2C8">
              <w:rPr>
                <w:rFonts w:ascii="Arial" w:hAnsi="Arial" w:cs="Arial"/>
                <w:sz w:val="16"/>
                <w:szCs w:val="16"/>
              </w:rPr>
              <w:t>Liczba zrealizowanych działań informacyjno-promocyjnych o szerokim</w:t>
            </w:r>
            <w:r>
              <w:rPr>
                <w:rFonts w:ascii="Arial" w:hAnsi="Arial" w:cs="Arial"/>
                <w:sz w:val="16"/>
                <w:szCs w:val="16"/>
              </w:rPr>
              <w:t xml:space="preserve"> zasięgu (w  </w:t>
            </w:r>
            <w:r w:rsidRPr="00E702C8">
              <w:rPr>
                <w:rFonts w:ascii="Arial" w:hAnsi="Arial" w:cs="Arial"/>
                <w:sz w:val="16"/>
                <w:szCs w:val="16"/>
              </w:rPr>
              <w:t xml:space="preserve">rozumieniu rozporządzenia ogólnego, zał. XII </w:t>
            </w:r>
            <w:proofErr w:type="spellStart"/>
            <w:r w:rsidRPr="00E702C8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E702C8">
              <w:rPr>
                <w:rFonts w:ascii="Arial" w:hAnsi="Arial" w:cs="Arial"/>
                <w:sz w:val="16"/>
                <w:szCs w:val="16"/>
              </w:rPr>
              <w:t xml:space="preserve"> 2.1.2 b)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promujących część lub cały program operacyjny, skierowanych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minimum 2 grup docelowych i wykorzystujących minimum 3 narzędzia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komunikacji, przy czym wszystkie te działania są realizowane pod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2C8">
              <w:rPr>
                <w:rFonts w:ascii="Arial" w:hAnsi="Arial" w:cs="Arial"/>
                <w:sz w:val="16"/>
                <w:szCs w:val="16"/>
              </w:rPr>
              <w:t>wspólnym komunikatem.</w:t>
            </w:r>
          </w:p>
        </w:tc>
        <w:tc>
          <w:tcPr>
            <w:tcW w:w="850" w:type="dxa"/>
            <w:vAlign w:val="center"/>
          </w:tcPr>
          <w:p w:rsidR="006A7050" w:rsidRDefault="006A7050" w:rsidP="00174FFE">
            <w:pPr>
              <w:jc w:val="center"/>
              <w:rPr>
                <w:rFonts w:ascii="Arial" w:hAnsi="Arial" w:cs="Arial"/>
              </w:rPr>
            </w:pPr>
            <w:r w:rsidRPr="00DC3714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</w:tr>
    </w:tbl>
    <w:p w:rsidR="00E702C8" w:rsidRPr="002E1CAA" w:rsidRDefault="00E702C8" w:rsidP="006A7050">
      <w:pPr>
        <w:spacing w:after="0"/>
        <w:rPr>
          <w:rFonts w:ascii="Arial" w:hAnsi="Arial" w:cs="Arial"/>
          <w:b/>
          <w:sz w:val="20"/>
          <w:szCs w:val="20"/>
        </w:rPr>
      </w:pPr>
    </w:p>
    <w:sectPr w:rsidR="00E702C8" w:rsidRPr="002E1CAA" w:rsidSect="00EE055B">
      <w:pgSz w:w="11906" w:h="16838" w:code="9"/>
      <w:pgMar w:top="680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75" w:rsidRDefault="00C96475" w:rsidP="006A7050">
      <w:pPr>
        <w:spacing w:after="0" w:line="240" w:lineRule="auto"/>
      </w:pPr>
      <w:r>
        <w:separator/>
      </w:r>
    </w:p>
  </w:endnote>
  <w:endnote w:type="continuationSeparator" w:id="0">
    <w:p w:rsidR="00C96475" w:rsidRDefault="00C96475" w:rsidP="006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75" w:rsidRDefault="00C96475" w:rsidP="006A7050">
      <w:pPr>
        <w:spacing w:after="0" w:line="240" w:lineRule="auto"/>
      </w:pPr>
      <w:r>
        <w:separator/>
      </w:r>
    </w:p>
  </w:footnote>
  <w:footnote w:type="continuationSeparator" w:id="0">
    <w:p w:rsidR="00C96475" w:rsidRDefault="00C96475" w:rsidP="006A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E00"/>
    <w:multiLevelType w:val="hybridMultilevel"/>
    <w:tmpl w:val="D2C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14"/>
    <w:rsid w:val="00014A9A"/>
    <w:rsid w:val="000C6EEE"/>
    <w:rsid w:val="000E6ADA"/>
    <w:rsid w:val="0013484F"/>
    <w:rsid w:val="002E1CAA"/>
    <w:rsid w:val="00300B6A"/>
    <w:rsid w:val="00307387"/>
    <w:rsid w:val="004F21BE"/>
    <w:rsid w:val="00613A4B"/>
    <w:rsid w:val="006A7050"/>
    <w:rsid w:val="00956797"/>
    <w:rsid w:val="009B420F"/>
    <w:rsid w:val="00B8527F"/>
    <w:rsid w:val="00C25D18"/>
    <w:rsid w:val="00C96475"/>
    <w:rsid w:val="00CC66E4"/>
    <w:rsid w:val="00DC3714"/>
    <w:rsid w:val="00E13125"/>
    <w:rsid w:val="00E6131F"/>
    <w:rsid w:val="00E702C8"/>
    <w:rsid w:val="00EB31A7"/>
    <w:rsid w:val="00ED042B"/>
    <w:rsid w:val="00EE055B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3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050"/>
  </w:style>
  <w:style w:type="paragraph" w:styleId="Stopka">
    <w:name w:val="footer"/>
    <w:basedOn w:val="Normalny"/>
    <w:link w:val="StopkaZnak"/>
    <w:uiPriority w:val="99"/>
    <w:semiHidden/>
    <w:unhideWhenUsed/>
    <w:rsid w:val="006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25D5-4179-4E00-BD1E-C88AD275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k.popkiewicz</dc:creator>
  <cp:keywords/>
  <dc:description/>
  <cp:lastModifiedBy>m.migut</cp:lastModifiedBy>
  <cp:revision>8</cp:revision>
  <dcterms:created xsi:type="dcterms:W3CDTF">2015-03-12T09:18:00Z</dcterms:created>
  <dcterms:modified xsi:type="dcterms:W3CDTF">2015-07-13T09:59:00Z</dcterms:modified>
</cp:coreProperties>
</file>