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3CDE" w14:textId="36E9B36A" w:rsidR="006E22FF" w:rsidRPr="006B1936" w:rsidRDefault="005204D4">
      <w:pPr>
        <w:rPr>
          <w:rFonts w:ascii="Arial" w:hAnsi="Arial" w:cs="Arial"/>
          <w:b/>
        </w:rPr>
      </w:pPr>
      <w:bookmarkStart w:id="0" w:name="_GoBack"/>
      <w:r w:rsidRPr="006B1936">
        <w:rPr>
          <w:rFonts w:ascii="Arial" w:hAnsi="Arial" w:cs="Arial"/>
          <w:b/>
        </w:rPr>
        <w:t xml:space="preserve">Załącznik </w:t>
      </w:r>
      <w:r w:rsidR="005E6B0A">
        <w:rPr>
          <w:rFonts w:ascii="Arial" w:hAnsi="Arial" w:cs="Arial"/>
          <w:b/>
        </w:rPr>
        <w:t xml:space="preserve">nr </w:t>
      </w:r>
      <w:r w:rsidR="00697B94">
        <w:rPr>
          <w:rFonts w:ascii="Arial" w:hAnsi="Arial" w:cs="Arial"/>
          <w:b/>
        </w:rPr>
        <w:t>2</w:t>
      </w:r>
      <w:r w:rsidR="005205D6" w:rsidRPr="006B1936">
        <w:rPr>
          <w:rFonts w:ascii="Arial" w:hAnsi="Arial" w:cs="Arial"/>
          <w:b/>
        </w:rPr>
        <w:t xml:space="preserve"> </w:t>
      </w:r>
      <w:r w:rsidRPr="006B1936">
        <w:rPr>
          <w:rFonts w:ascii="Arial" w:hAnsi="Arial" w:cs="Arial"/>
          <w:b/>
        </w:rPr>
        <w:t>do FEP 2021-2027</w:t>
      </w:r>
      <w:r w:rsidR="00FC7168" w:rsidRPr="006B1936">
        <w:rPr>
          <w:rFonts w:ascii="Arial" w:hAnsi="Arial" w:cs="Arial"/>
          <w:b/>
        </w:rPr>
        <w:t xml:space="preserve"> </w:t>
      </w:r>
      <w:r w:rsidR="00195CDB">
        <w:rPr>
          <w:rFonts w:ascii="Arial" w:hAnsi="Arial" w:cs="Arial"/>
          <w:b/>
        </w:rPr>
        <w:t xml:space="preserve">- </w:t>
      </w:r>
      <w:r w:rsidR="00707E67">
        <w:rPr>
          <w:rFonts w:ascii="Arial" w:hAnsi="Arial" w:cs="Arial"/>
          <w:b/>
        </w:rPr>
        <w:t>Słownik definicji</w:t>
      </w:r>
      <w:bookmarkEnd w:id="0"/>
    </w:p>
    <w:p w14:paraId="3A6BC10E" w14:textId="77777777" w:rsidR="00FC62B3" w:rsidRDefault="00FC62B3" w:rsidP="00FC62B3">
      <w:pPr>
        <w:pStyle w:val="Akapitzlist"/>
        <w:ind w:left="426"/>
        <w:jc w:val="both"/>
        <w:rPr>
          <w:rFonts w:ascii="Arial" w:hAnsi="Arial" w:cs="Arial"/>
          <w:b/>
        </w:rPr>
      </w:pPr>
    </w:p>
    <w:p w14:paraId="52D9F699" w14:textId="51436BE8" w:rsidR="00373C35" w:rsidRDefault="00144CEA" w:rsidP="005E62F5">
      <w:pPr>
        <w:pStyle w:val="Akapitzlist"/>
        <w:numPr>
          <w:ilvl w:val="3"/>
          <w:numId w:val="9"/>
        </w:numPr>
        <w:ind w:left="284"/>
        <w:rPr>
          <w:rFonts w:ascii="Arial" w:hAnsi="Arial" w:cs="Arial"/>
        </w:rPr>
      </w:pPr>
      <w:r w:rsidRPr="00373C35">
        <w:rPr>
          <w:rFonts w:ascii="Arial" w:hAnsi="Arial" w:cs="Arial"/>
          <w:b/>
        </w:rPr>
        <w:t>Strategia terytorialna</w:t>
      </w:r>
      <w:r w:rsidRPr="00373C35">
        <w:rPr>
          <w:rFonts w:ascii="Arial" w:hAnsi="Arial" w:cs="Arial"/>
        </w:rPr>
        <w:t xml:space="preserve"> – została zdefiniowana w art. 29 rozporządzenia ogólnego</w:t>
      </w:r>
      <w:r w:rsidRPr="00144CEA">
        <w:rPr>
          <w:rStyle w:val="Odwoanieprzypisudolnego"/>
          <w:rFonts w:ascii="Arial" w:hAnsi="Arial" w:cs="Arial"/>
        </w:rPr>
        <w:footnoteReference w:id="1"/>
      </w:r>
      <w:r w:rsidR="00F218D5" w:rsidRPr="00373C35">
        <w:rPr>
          <w:rFonts w:ascii="Arial" w:hAnsi="Arial" w:cs="Arial"/>
        </w:rPr>
        <w:t xml:space="preserve"> (dalej: rozporządzenie ogólne)</w:t>
      </w:r>
      <w:r w:rsidRPr="00373C35">
        <w:rPr>
          <w:rFonts w:ascii="Arial" w:hAnsi="Arial" w:cs="Arial"/>
        </w:rPr>
        <w:t>.</w:t>
      </w:r>
      <w:r w:rsidR="00351FDD" w:rsidRPr="00351FDD">
        <w:t xml:space="preserve"> </w:t>
      </w:r>
      <w:r w:rsidR="00351FDD" w:rsidRPr="00373C35">
        <w:rPr>
          <w:rFonts w:ascii="Arial" w:hAnsi="Arial" w:cs="Arial"/>
        </w:rPr>
        <w:t xml:space="preserve">Szczegółowe wymagania dotyczące strategii terytorialnej będzie określać </w:t>
      </w:r>
      <w:r w:rsidR="00351FDD" w:rsidRPr="00822546">
        <w:rPr>
          <w:rFonts w:ascii="Arial" w:hAnsi="Arial" w:cs="Arial"/>
          <w:i/>
        </w:rPr>
        <w:t xml:space="preserve">ustawa </w:t>
      </w:r>
      <w:r w:rsidR="00925BE3" w:rsidRPr="00822546">
        <w:rPr>
          <w:rFonts w:ascii="Arial" w:hAnsi="Arial" w:cs="Arial"/>
          <w:i/>
        </w:rPr>
        <w:t>o zasadach realizacji zadań finansowanych ze środków europejskich w perspektywie finansowej 2021-2027</w:t>
      </w:r>
      <w:r w:rsidR="00925BE3" w:rsidRPr="00373C35">
        <w:rPr>
          <w:rFonts w:ascii="Arial" w:hAnsi="Arial" w:cs="Arial"/>
        </w:rPr>
        <w:t xml:space="preserve"> </w:t>
      </w:r>
      <w:r w:rsidR="00351FDD" w:rsidRPr="00373C35">
        <w:rPr>
          <w:rFonts w:ascii="Arial" w:hAnsi="Arial" w:cs="Arial"/>
        </w:rPr>
        <w:t xml:space="preserve">(tzw. ustawa wdrożeniowa). Strategia terytorialna jest podstawą realizacji ZIT i IIT. Rolę strategii terytorialnej może pełnić </w:t>
      </w:r>
      <w:r w:rsidR="006C3AA3" w:rsidRPr="006C3AA3">
        <w:rPr>
          <w:rFonts w:ascii="Arial" w:hAnsi="Arial" w:cs="Arial"/>
        </w:rPr>
        <w:t xml:space="preserve">również </w:t>
      </w:r>
      <w:r w:rsidR="00351FDD" w:rsidRPr="00373C35">
        <w:rPr>
          <w:rFonts w:ascii="Arial" w:hAnsi="Arial" w:cs="Arial"/>
        </w:rPr>
        <w:t>strategia rozwoju ponadlokalnego, o ile spełnia ustawowe wymogi w zakresie strategii terytorialnej.</w:t>
      </w:r>
    </w:p>
    <w:p w14:paraId="0ED6347C" w14:textId="288B59C4" w:rsidR="00707E67" w:rsidRPr="00373C35" w:rsidRDefault="00707E67" w:rsidP="005E62F5">
      <w:pPr>
        <w:pStyle w:val="Akapitzlist"/>
        <w:numPr>
          <w:ilvl w:val="3"/>
          <w:numId w:val="9"/>
        </w:numPr>
        <w:ind w:left="284"/>
        <w:rPr>
          <w:rFonts w:ascii="Arial" w:hAnsi="Arial" w:cs="Arial"/>
        </w:rPr>
      </w:pPr>
      <w:r w:rsidRPr="00373C35">
        <w:rPr>
          <w:rFonts w:ascii="Arial" w:hAnsi="Arial" w:cs="Arial"/>
          <w:b/>
        </w:rPr>
        <w:t xml:space="preserve">Strategia ponadlokalna </w:t>
      </w:r>
      <w:r w:rsidR="001936AB" w:rsidRPr="00373C35">
        <w:rPr>
          <w:rFonts w:ascii="Arial" w:hAnsi="Arial" w:cs="Arial"/>
        </w:rPr>
        <w:t xml:space="preserve">– została zdefiniowana w </w:t>
      </w:r>
      <w:r w:rsidR="00240027" w:rsidRPr="00373C35">
        <w:rPr>
          <w:rFonts w:ascii="Arial" w:hAnsi="Arial" w:cs="Arial"/>
        </w:rPr>
        <w:t>art.</w:t>
      </w:r>
      <w:r w:rsidRPr="00373C35">
        <w:rPr>
          <w:rFonts w:ascii="Arial" w:hAnsi="Arial" w:cs="Arial"/>
        </w:rPr>
        <w:t xml:space="preserve">10g ust.1 </w:t>
      </w:r>
      <w:r w:rsidRPr="00D55AD0">
        <w:rPr>
          <w:rFonts w:ascii="Arial" w:hAnsi="Arial" w:cs="Arial"/>
          <w:i/>
        </w:rPr>
        <w:t xml:space="preserve">ustawy </w:t>
      </w:r>
      <w:r w:rsidR="001936AB" w:rsidRPr="00D55AD0">
        <w:rPr>
          <w:rFonts w:ascii="Arial" w:hAnsi="Arial" w:cs="Arial"/>
          <w:i/>
        </w:rPr>
        <w:t xml:space="preserve">z dnia 8 marca 1990 roku </w:t>
      </w:r>
      <w:r w:rsidRPr="00D55AD0">
        <w:rPr>
          <w:rFonts w:ascii="Arial" w:hAnsi="Arial" w:cs="Arial"/>
          <w:i/>
        </w:rPr>
        <w:t>o samorządzie gminnym</w:t>
      </w:r>
      <w:r w:rsidR="001936AB" w:rsidRPr="00D55AD0">
        <w:rPr>
          <w:rFonts w:ascii="Arial" w:hAnsi="Arial" w:cs="Arial"/>
          <w:i/>
        </w:rPr>
        <w:t xml:space="preserve"> </w:t>
      </w:r>
      <w:r w:rsidR="001936AB" w:rsidRPr="00373C35">
        <w:rPr>
          <w:rFonts w:ascii="Arial" w:hAnsi="Arial" w:cs="Arial"/>
        </w:rPr>
        <w:t>(</w:t>
      </w:r>
      <w:proofErr w:type="spellStart"/>
      <w:r w:rsidR="001936AB" w:rsidRPr="00373C35">
        <w:rPr>
          <w:rFonts w:ascii="Arial" w:hAnsi="Arial" w:cs="Arial"/>
        </w:rPr>
        <w:t>t.j</w:t>
      </w:r>
      <w:proofErr w:type="spellEnd"/>
      <w:r w:rsidR="001936AB" w:rsidRPr="00373C35">
        <w:rPr>
          <w:rFonts w:ascii="Arial" w:hAnsi="Arial" w:cs="Arial"/>
        </w:rPr>
        <w:t>. Dz. U. z 2021 r. poz. 1372, 1834.</w:t>
      </w:r>
      <w:r w:rsidRPr="00373C35">
        <w:rPr>
          <w:rFonts w:ascii="Arial" w:hAnsi="Arial" w:cs="Arial"/>
        </w:rPr>
        <w:t>)</w:t>
      </w:r>
      <w:r w:rsidR="00E961B8">
        <w:rPr>
          <w:rFonts w:ascii="Arial" w:hAnsi="Arial" w:cs="Arial"/>
        </w:rPr>
        <w:t xml:space="preserve">, który </w:t>
      </w:r>
      <w:r w:rsidR="00E961B8" w:rsidRPr="00373C35">
        <w:rPr>
          <w:rFonts w:ascii="Arial" w:hAnsi="Arial" w:cs="Arial"/>
        </w:rPr>
        <w:t>określa minimalne wymagania w zakresie treści tej strategii. Katalog obowiązkowych treści strategii jest otwarty, może być w zależności od potrzeb rozszerzany, np. na potrzeby dostosowania do wymagań dla Strategii ZIT czy Strategii IIT. Opracowanie i uchwalenie strategii rozwoju ponadlokalnego stanowi warunek realizacji ZIT dla miejskiego obszaru funkcjonalnego ośrodka wojewódzkiego (MOF OW) dla pozostałych miejskich obszarów funkcjonalnych strategia ponadlokalna nie jest obligatoryjna.</w:t>
      </w:r>
      <w:r w:rsidR="00E961B8">
        <w:rPr>
          <w:rFonts w:ascii="Arial" w:hAnsi="Arial" w:cs="Arial"/>
        </w:rPr>
        <w:t xml:space="preserve"> </w:t>
      </w:r>
      <w:r w:rsidR="001936AB" w:rsidRPr="00373C35">
        <w:rPr>
          <w:rFonts w:ascii="Arial" w:hAnsi="Arial" w:cs="Arial"/>
        </w:rPr>
        <w:t>Strategia ponadlokalna stanowi</w:t>
      </w:r>
      <w:r w:rsidRPr="00373C35">
        <w:rPr>
          <w:rFonts w:ascii="Arial" w:hAnsi="Arial" w:cs="Arial"/>
        </w:rPr>
        <w:t xml:space="preserve"> wspólny dokument strategiczny kilku JST, dla obszaru funkcjonalnego (np. MOF), uwzględniający powiązania obszarów miejskich z wiejskimi. Ma na celu umożliwienie wspólnego planowania działań rozwojowych na obszarze kilku, powiązanych ze sobą funkcjonalnie gmin. </w:t>
      </w:r>
      <w:r w:rsidR="00351FDD" w:rsidRPr="00373C35">
        <w:rPr>
          <w:rFonts w:ascii="Arial" w:hAnsi="Arial" w:cs="Arial"/>
        </w:rPr>
        <w:t xml:space="preserve">Szczegółowe wymagania w tym zakresie będzie określać </w:t>
      </w:r>
      <w:r w:rsidR="00351FDD" w:rsidRPr="00D55AD0">
        <w:rPr>
          <w:rFonts w:ascii="Arial" w:hAnsi="Arial" w:cs="Arial"/>
          <w:i/>
        </w:rPr>
        <w:t xml:space="preserve">ustawa </w:t>
      </w:r>
      <w:r w:rsidR="00062C7E">
        <w:rPr>
          <w:rFonts w:ascii="Arial" w:hAnsi="Arial" w:cs="Arial"/>
          <w:i/>
        </w:rPr>
        <w:br/>
      </w:r>
      <w:r w:rsidR="00925BE3" w:rsidRPr="00D55AD0">
        <w:rPr>
          <w:rFonts w:ascii="Arial" w:hAnsi="Arial" w:cs="Arial"/>
          <w:i/>
        </w:rPr>
        <w:t>o zasadach realizacji zadań finansowanych ze środków europejskich w perspektywie finansowej 2021-2027</w:t>
      </w:r>
      <w:r w:rsidR="00925BE3" w:rsidRPr="00373C35">
        <w:rPr>
          <w:rFonts w:ascii="Arial" w:hAnsi="Arial" w:cs="Arial"/>
        </w:rPr>
        <w:t xml:space="preserve"> (tzw. ustawa wdrożeniowa)</w:t>
      </w:r>
      <w:r w:rsidR="00351FDD" w:rsidRPr="00373C35">
        <w:rPr>
          <w:rFonts w:ascii="Arial" w:hAnsi="Arial" w:cs="Arial"/>
        </w:rPr>
        <w:t xml:space="preserve"> w Rozdziale 12 </w:t>
      </w:r>
      <w:r w:rsidR="00351FDD" w:rsidRPr="00373C35">
        <w:rPr>
          <w:rFonts w:ascii="Arial" w:hAnsi="Arial" w:cs="Arial"/>
          <w:i/>
        </w:rPr>
        <w:t>Szczególne instrumenty realizacji programów</w:t>
      </w:r>
      <w:r w:rsidR="00351FDD" w:rsidRPr="00373C35">
        <w:rPr>
          <w:rFonts w:ascii="Arial" w:hAnsi="Arial" w:cs="Arial"/>
        </w:rPr>
        <w:t xml:space="preserve"> art. 34 ust. 1.</w:t>
      </w:r>
    </w:p>
    <w:p w14:paraId="4AA837E9" w14:textId="77777777" w:rsidR="00646197" w:rsidRPr="000A1B63" w:rsidRDefault="00646197" w:rsidP="009B4A79">
      <w:pPr>
        <w:pStyle w:val="Akapitzlist"/>
        <w:numPr>
          <w:ilvl w:val="3"/>
          <w:numId w:val="9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Strategia ZIT </w:t>
      </w:r>
      <w:r w:rsidR="000A1B63" w:rsidRPr="000A1B63">
        <w:rPr>
          <w:rFonts w:ascii="Arial" w:hAnsi="Arial" w:cs="Arial"/>
        </w:rPr>
        <w:t>–</w:t>
      </w:r>
      <w:r w:rsidR="00E2264C">
        <w:rPr>
          <w:rFonts w:ascii="Arial" w:hAnsi="Arial" w:cs="Arial"/>
        </w:rPr>
        <w:t xml:space="preserve"> </w:t>
      </w:r>
      <w:r w:rsidR="00C5476B" w:rsidRPr="00C5476B">
        <w:rPr>
          <w:rFonts w:ascii="Arial" w:hAnsi="Arial" w:cs="Arial"/>
        </w:rPr>
        <w:t xml:space="preserve">stanowi podstawowy dokument realizacji działań w ramach instrumentu terytorialnego </w:t>
      </w:r>
      <w:r w:rsidR="009B4A79">
        <w:rPr>
          <w:rFonts w:ascii="Arial" w:hAnsi="Arial" w:cs="Arial"/>
        </w:rPr>
        <w:t>ZIT, o którym mowa w art. 28 lit. a</w:t>
      </w:r>
      <w:r w:rsidR="00C5476B" w:rsidRPr="00C5476B">
        <w:rPr>
          <w:rFonts w:ascii="Arial" w:hAnsi="Arial" w:cs="Arial"/>
        </w:rPr>
        <w:t xml:space="preserve">) rozporządzenia ogólnego. </w:t>
      </w:r>
      <w:r w:rsidR="009B4A79" w:rsidRPr="00100D3D">
        <w:rPr>
          <w:rFonts w:ascii="Arial" w:eastAsia="Calibri" w:hAnsi="Arial" w:cs="Arial"/>
        </w:rPr>
        <w:t xml:space="preserve">Strategia ZIT </w:t>
      </w:r>
      <w:r w:rsidR="000A1B63" w:rsidRPr="000A1B63">
        <w:rPr>
          <w:rFonts w:ascii="Arial" w:eastAsia="Calibri" w:hAnsi="Arial" w:cs="Arial"/>
        </w:rPr>
        <w:t xml:space="preserve">pełni rolę strategii </w:t>
      </w:r>
      <w:r w:rsidR="000A1B63" w:rsidRPr="00100D3D">
        <w:rPr>
          <w:rFonts w:ascii="Arial" w:eastAsia="Calibri" w:hAnsi="Arial" w:cs="Arial"/>
        </w:rPr>
        <w:t>terytorialnej</w:t>
      </w:r>
      <w:r w:rsidR="009B4A79" w:rsidRPr="009B4A79">
        <w:rPr>
          <w:rFonts w:ascii="Arial" w:hAnsi="Arial" w:cs="Arial"/>
        </w:rPr>
        <w:t xml:space="preserve"> </w:t>
      </w:r>
      <w:r w:rsidR="009B4A79">
        <w:rPr>
          <w:rFonts w:ascii="Arial" w:hAnsi="Arial" w:cs="Arial"/>
        </w:rPr>
        <w:t>i s</w:t>
      </w:r>
      <w:r w:rsidR="009B4A79" w:rsidRPr="000A1B63">
        <w:rPr>
          <w:rFonts w:ascii="Arial" w:hAnsi="Arial" w:cs="Arial"/>
        </w:rPr>
        <w:t>tanowi podstawę realizacji ZIT</w:t>
      </w:r>
      <w:r w:rsidR="009B4A79">
        <w:rPr>
          <w:rFonts w:ascii="Arial" w:hAnsi="Arial" w:cs="Arial"/>
        </w:rPr>
        <w:t>, dlatego</w:t>
      </w:r>
      <w:r w:rsidR="000A1B63" w:rsidRPr="00100D3D">
        <w:rPr>
          <w:rFonts w:ascii="Arial" w:eastAsia="Calibri" w:hAnsi="Arial" w:cs="Arial"/>
        </w:rPr>
        <w:t xml:space="preserve"> </w:t>
      </w:r>
      <w:r w:rsidR="000A1B63" w:rsidRPr="00100D3D">
        <w:rPr>
          <w:rFonts w:ascii="Arial" w:hAnsi="Arial" w:cs="Arial"/>
        </w:rPr>
        <w:t>musi spełniać wymogi określone w art. 29 rozporządzenia ogólnego.</w:t>
      </w:r>
      <w:r w:rsidR="00E2264C">
        <w:rPr>
          <w:rFonts w:ascii="Arial" w:hAnsi="Arial" w:cs="Arial"/>
        </w:rPr>
        <w:t xml:space="preserve"> </w:t>
      </w:r>
      <w:r w:rsidR="00100D3D" w:rsidRPr="00100D3D">
        <w:rPr>
          <w:rFonts w:ascii="Arial" w:eastAsia="Calibri" w:hAnsi="Arial" w:cs="Arial"/>
        </w:rPr>
        <w:t>Strategia ZIT powinna być spójna ze strategią rozwoju ponadlokalnego, jeżeli strategia ta została wcześniej przyjęta.</w:t>
      </w:r>
      <w:r w:rsidR="00315A59" w:rsidRPr="00315A59">
        <w:rPr>
          <w:rFonts w:ascii="Arial" w:hAnsi="Arial" w:cs="Arial"/>
        </w:rPr>
        <w:t xml:space="preserve"> </w:t>
      </w:r>
      <w:r w:rsidR="00315A59">
        <w:rPr>
          <w:rFonts w:ascii="Arial" w:hAnsi="Arial" w:cs="Arial"/>
        </w:rPr>
        <w:t xml:space="preserve">Wymagane elementy strategii IIT zostaną określone w art. 34 ust. </w:t>
      </w:r>
      <w:r w:rsidR="002D0A35">
        <w:rPr>
          <w:rFonts w:ascii="Arial" w:hAnsi="Arial" w:cs="Arial"/>
        </w:rPr>
        <w:t>6</w:t>
      </w:r>
      <w:r w:rsidR="00315A59" w:rsidRPr="00925BE3">
        <w:t xml:space="preserve"> </w:t>
      </w:r>
      <w:r w:rsidR="00315A59" w:rsidRPr="00D55AD0">
        <w:rPr>
          <w:rFonts w:ascii="Arial" w:hAnsi="Arial" w:cs="Arial"/>
          <w:i/>
        </w:rPr>
        <w:t>ustawy o zasadach realizacji zadań finansowanych ze środków europejskich w perspektywie finansowej 2021-2027</w:t>
      </w:r>
      <w:r w:rsidR="00315A59" w:rsidRPr="00925BE3">
        <w:rPr>
          <w:rFonts w:ascii="Arial" w:hAnsi="Arial" w:cs="Arial"/>
        </w:rPr>
        <w:t xml:space="preserve"> (tzw. ustawa wdrożeniowa)</w:t>
      </w:r>
      <w:r w:rsidR="00315A59">
        <w:rPr>
          <w:rFonts w:ascii="Arial" w:hAnsi="Arial" w:cs="Arial"/>
        </w:rPr>
        <w:t>.</w:t>
      </w:r>
    </w:p>
    <w:p w14:paraId="3275CEB2" w14:textId="77777777" w:rsidR="007D5709" w:rsidRPr="00A5481D" w:rsidRDefault="007D5709" w:rsidP="00F218D5">
      <w:pPr>
        <w:pStyle w:val="Akapitzlist"/>
        <w:numPr>
          <w:ilvl w:val="3"/>
          <w:numId w:val="9"/>
        </w:numPr>
        <w:ind w:left="284"/>
        <w:rPr>
          <w:rFonts w:ascii="Arial" w:hAnsi="Arial" w:cs="Arial"/>
        </w:rPr>
      </w:pPr>
      <w:r w:rsidRPr="00646197">
        <w:rPr>
          <w:rFonts w:ascii="Arial" w:hAnsi="Arial" w:cs="Arial"/>
          <w:b/>
        </w:rPr>
        <w:t>Strategia IIT</w:t>
      </w:r>
      <w:r>
        <w:rPr>
          <w:rFonts w:ascii="Arial" w:hAnsi="Arial" w:cs="Arial"/>
        </w:rPr>
        <w:t xml:space="preserve"> – </w:t>
      </w:r>
      <w:r w:rsidR="00646197">
        <w:rPr>
          <w:rFonts w:ascii="Arial" w:hAnsi="Arial" w:cs="Arial"/>
        </w:rPr>
        <w:t>stanowi podstawowy dokument</w:t>
      </w:r>
      <w:r w:rsidR="00646197" w:rsidRPr="00646197">
        <w:rPr>
          <w:rFonts w:ascii="Arial" w:hAnsi="Arial" w:cs="Arial"/>
        </w:rPr>
        <w:t xml:space="preserve"> realizacji działań w </w:t>
      </w:r>
      <w:r w:rsidR="00646197">
        <w:rPr>
          <w:rFonts w:ascii="Arial" w:hAnsi="Arial" w:cs="Arial"/>
        </w:rPr>
        <w:t>ramach</w:t>
      </w:r>
      <w:r w:rsidR="00646197" w:rsidRPr="00646197">
        <w:rPr>
          <w:rFonts w:ascii="Arial" w:hAnsi="Arial" w:cs="Arial"/>
        </w:rPr>
        <w:t xml:space="preserve"> instrumentu</w:t>
      </w:r>
      <w:r w:rsidR="00646197">
        <w:rPr>
          <w:rFonts w:ascii="Arial" w:hAnsi="Arial" w:cs="Arial"/>
        </w:rPr>
        <w:t xml:space="preserve"> terytorialnego</w:t>
      </w:r>
      <w:r w:rsidR="00646197" w:rsidRPr="00646197">
        <w:rPr>
          <w:rFonts w:ascii="Arial" w:hAnsi="Arial" w:cs="Arial"/>
        </w:rPr>
        <w:t xml:space="preserve"> IIT</w:t>
      </w:r>
      <w:r w:rsidR="00F218D5">
        <w:rPr>
          <w:rFonts w:ascii="Arial" w:hAnsi="Arial" w:cs="Arial"/>
        </w:rPr>
        <w:t>, o którym mowa w art. 28 lit</w:t>
      </w:r>
      <w:r w:rsidR="00C5476B">
        <w:rPr>
          <w:rFonts w:ascii="Arial" w:hAnsi="Arial" w:cs="Arial"/>
        </w:rPr>
        <w:t>.</w:t>
      </w:r>
      <w:r w:rsidR="00F218D5">
        <w:rPr>
          <w:rFonts w:ascii="Arial" w:hAnsi="Arial" w:cs="Arial"/>
        </w:rPr>
        <w:t xml:space="preserve"> c) </w:t>
      </w:r>
      <w:r w:rsidR="00F218D5" w:rsidRPr="00F218D5">
        <w:rPr>
          <w:rFonts w:ascii="Arial" w:hAnsi="Arial" w:cs="Arial"/>
        </w:rPr>
        <w:t>rozporządzenia ogólne</w:t>
      </w:r>
      <w:r w:rsidR="00F218D5">
        <w:rPr>
          <w:rFonts w:ascii="Arial" w:hAnsi="Arial" w:cs="Arial"/>
        </w:rPr>
        <w:t xml:space="preserve">go. </w:t>
      </w:r>
      <w:r w:rsidR="00646197">
        <w:rPr>
          <w:rFonts w:ascii="Arial" w:hAnsi="Arial" w:cs="Arial"/>
        </w:rPr>
        <w:t>Strategia IIT,</w:t>
      </w:r>
      <w:r w:rsidR="00646197" w:rsidRPr="00646197">
        <w:rPr>
          <w:rFonts w:ascii="Arial" w:hAnsi="Arial" w:cs="Arial"/>
        </w:rPr>
        <w:t xml:space="preserve"> pełni f</w:t>
      </w:r>
      <w:r w:rsidR="00F218D5">
        <w:rPr>
          <w:rFonts w:ascii="Arial" w:hAnsi="Arial" w:cs="Arial"/>
        </w:rPr>
        <w:t xml:space="preserve">unkcję strategii terytorialnej </w:t>
      </w:r>
      <w:r w:rsidR="00E961B8">
        <w:rPr>
          <w:rFonts w:ascii="Arial" w:hAnsi="Arial" w:cs="Arial"/>
        </w:rPr>
        <w:t>i s</w:t>
      </w:r>
      <w:r w:rsidR="00E961B8" w:rsidRPr="000A1B63">
        <w:rPr>
          <w:rFonts w:ascii="Arial" w:hAnsi="Arial" w:cs="Arial"/>
        </w:rPr>
        <w:t xml:space="preserve">tanowi podstawę </w:t>
      </w:r>
      <w:r w:rsidR="00E961B8">
        <w:rPr>
          <w:rFonts w:ascii="Arial" w:hAnsi="Arial" w:cs="Arial"/>
        </w:rPr>
        <w:t>realizacji I</w:t>
      </w:r>
      <w:r w:rsidR="00E961B8" w:rsidRPr="000A1B63">
        <w:rPr>
          <w:rFonts w:ascii="Arial" w:hAnsi="Arial" w:cs="Arial"/>
        </w:rPr>
        <w:t>IT</w:t>
      </w:r>
      <w:r w:rsidR="00E961B8">
        <w:rPr>
          <w:rFonts w:ascii="Arial" w:hAnsi="Arial" w:cs="Arial"/>
        </w:rPr>
        <w:t>, dlatego</w:t>
      </w:r>
      <w:r w:rsidR="00E961B8" w:rsidRPr="00100D3D">
        <w:rPr>
          <w:rFonts w:ascii="Arial" w:eastAsia="Calibri" w:hAnsi="Arial" w:cs="Arial"/>
        </w:rPr>
        <w:t xml:space="preserve"> </w:t>
      </w:r>
      <w:r w:rsidR="00E961B8" w:rsidRPr="00100D3D">
        <w:rPr>
          <w:rFonts w:ascii="Arial" w:hAnsi="Arial" w:cs="Arial"/>
        </w:rPr>
        <w:t>musi spełniać wymogi określone w art. 29 rozporządzenia ogólnego</w:t>
      </w:r>
      <w:r w:rsidR="00646197">
        <w:rPr>
          <w:rFonts w:ascii="Arial" w:hAnsi="Arial" w:cs="Arial"/>
        </w:rPr>
        <w:t xml:space="preserve">. </w:t>
      </w:r>
      <w:r w:rsidR="00646197" w:rsidRPr="00646197">
        <w:rPr>
          <w:rFonts w:ascii="Arial" w:hAnsi="Arial" w:cs="Arial"/>
        </w:rPr>
        <w:t>Strategia IIT jest przygotowywana przez jednostki samorządu</w:t>
      </w:r>
      <w:r w:rsidR="00F218D5">
        <w:rPr>
          <w:rFonts w:ascii="Arial" w:hAnsi="Arial" w:cs="Arial"/>
        </w:rPr>
        <w:t xml:space="preserve"> terytorialnego i </w:t>
      </w:r>
      <w:r w:rsidR="00646197" w:rsidRPr="00646197">
        <w:rPr>
          <w:rFonts w:ascii="Arial" w:hAnsi="Arial" w:cs="Arial"/>
        </w:rPr>
        <w:t>musi zostać przyjęta przez jedną z form prawnych współpracy samorządów</w:t>
      </w:r>
      <w:r w:rsidR="00F218D5">
        <w:rPr>
          <w:rFonts w:ascii="Arial" w:hAnsi="Arial" w:cs="Arial"/>
        </w:rPr>
        <w:t xml:space="preserve"> (</w:t>
      </w:r>
      <w:r w:rsidR="00F218D5" w:rsidRPr="00F218D5">
        <w:rPr>
          <w:rFonts w:ascii="Arial" w:hAnsi="Arial" w:cs="Arial"/>
        </w:rPr>
        <w:t>przez partnerstwo gmin lub partnerstwo gmin i powiatów</w:t>
      </w:r>
      <w:r w:rsidR="00F218D5">
        <w:rPr>
          <w:rFonts w:ascii="Arial" w:hAnsi="Arial" w:cs="Arial"/>
        </w:rPr>
        <w:t>)</w:t>
      </w:r>
      <w:r w:rsidR="00646197" w:rsidRPr="00646197">
        <w:rPr>
          <w:rFonts w:ascii="Arial" w:hAnsi="Arial" w:cs="Arial"/>
        </w:rPr>
        <w:t xml:space="preserve">. </w:t>
      </w:r>
      <w:r w:rsidR="00F218D5">
        <w:rPr>
          <w:rFonts w:ascii="Arial" w:hAnsi="Arial" w:cs="Arial"/>
        </w:rPr>
        <w:t>Wymagane e</w:t>
      </w:r>
      <w:r w:rsidR="00646197">
        <w:rPr>
          <w:rFonts w:ascii="Arial" w:hAnsi="Arial" w:cs="Arial"/>
        </w:rPr>
        <w:t xml:space="preserve">lementy </w:t>
      </w:r>
      <w:r w:rsidR="00F218D5">
        <w:rPr>
          <w:rFonts w:ascii="Arial" w:hAnsi="Arial" w:cs="Arial"/>
        </w:rPr>
        <w:t xml:space="preserve">strategii IIT </w:t>
      </w:r>
      <w:r w:rsidR="00646197">
        <w:rPr>
          <w:rFonts w:ascii="Arial" w:hAnsi="Arial" w:cs="Arial"/>
        </w:rPr>
        <w:t xml:space="preserve">zostaną określone w </w:t>
      </w:r>
      <w:r>
        <w:rPr>
          <w:rFonts w:ascii="Arial" w:hAnsi="Arial" w:cs="Arial"/>
        </w:rPr>
        <w:t>art. 36 ust. 8</w:t>
      </w:r>
      <w:r w:rsidR="00925BE3" w:rsidRPr="00925BE3">
        <w:t xml:space="preserve"> </w:t>
      </w:r>
      <w:r w:rsidR="00646197" w:rsidRPr="00D55AD0">
        <w:rPr>
          <w:rFonts w:ascii="Arial" w:hAnsi="Arial" w:cs="Arial"/>
          <w:i/>
        </w:rPr>
        <w:t>ustawy</w:t>
      </w:r>
      <w:r w:rsidR="00925BE3" w:rsidRPr="00D55AD0">
        <w:rPr>
          <w:rFonts w:ascii="Arial" w:hAnsi="Arial" w:cs="Arial"/>
          <w:i/>
        </w:rPr>
        <w:t xml:space="preserve"> o zasadach realizacji zadań finansowanych ze środków europejskich w perspektywie finansowej 2021-2027</w:t>
      </w:r>
      <w:r w:rsidR="00925BE3" w:rsidRPr="00925BE3">
        <w:rPr>
          <w:rFonts w:ascii="Arial" w:hAnsi="Arial" w:cs="Arial"/>
        </w:rPr>
        <w:t xml:space="preserve"> (tzw. ustawa wdrożeniowa)</w:t>
      </w:r>
      <w:r w:rsidR="00F218D5">
        <w:rPr>
          <w:rFonts w:ascii="Arial" w:hAnsi="Arial" w:cs="Arial"/>
        </w:rPr>
        <w:t>.</w:t>
      </w:r>
      <w:r w:rsidR="00A5481D" w:rsidRPr="00A5481D">
        <w:rPr>
          <w:rFonts w:ascii="Calibri" w:eastAsia="Calibri" w:hAnsi="Calibri" w:cs="Calibri"/>
        </w:rPr>
        <w:t xml:space="preserve"> </w:t>
      </w:r>
      <w:r w:rsidR="00A5481D" w:rsidRPr="00A5481D">
        <w:rPr>
          <w:rFonts w:ascii="Arial" w:eastAsia="Calibri" w:hAnsi="Arial" w:cs="Arial"/>
        </w:rPr>
        <w:t>Strategia IIT może być wykorzystana do realizacji porozumienia terytorialnego, o którym mowa w art. 14rb ustawy o zasadach prowadzenia polityki rozwoju.</w:t>
      </w:r>
    </w:p>
    <w:p w14:paraId="6C874F77" w14:textId="470E0BCC" w:rsidR="00A5481D" w:rsidRDefault="00A5481D" w:rsidP="00A5481D">
      <w:pPr>
        <w:pStyle w:val="Akapitzlist"/>
        <w:numPr>
          <w:ilvl w:val="3"/>
          <w:numId w:val="9"/>
        </w:numPr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Porozumienie terytorialne </w:t>
      </w:r>
      <w:r>
        <w:rPr>
          <w:rFonts w:ascii="Arial" w:hAnsi="Arial" w:cs="Arial"/>
        </w:rPr>
        <w:t xml:space="preserve">– </w:t>
      </w:r>
      <w:r w:rsidR="00AB15D1" w:rsidRPr="000066EF">
        <w:rPr>
          <w:rFonts w:ascii="Arial" w:hAnsi="Arial" w:cs="Arial"/>
        </w:rPr>
        <w:t>zgodnie z art. 5 ust. 4 pkt 4f</w:t>
      </w:r>
      <w:r w:rsidR="000066EF" w:rsidRPr="000066EF">
        <w:rPr>
          <w:rFonts w:ascii="Arial" w:hAnsi="Arial" w:cs="Arial"/>
        </w:rPr>
        <w:t xml:space="preserve"> </w:t>
      </w:r>
      <w:r w:rsidR="000066EF" w:rsidRPr="007D5A9F">
        <w:rPr>
          <w:rFonts w:ascii="Arial" w:hAnsi="Arial" w:cs="Arial"/>
          <w:i/>
        </w:rPr>
        <w:t>ustawy z dnia 6 grudnia 2006 roku o zasadach prowadzenia polityki rozwoju</w:t>
      </w:r>
      <w:r w:rsidR="007D5A9F">
        <w:rPr>
          <w:rFonts w:ascii="Arial" w:hAnsi="Arial" w:cs="Arial"/>
        </w:rPr>
        <w:t xml:space="preserve"> </w:t>
      </w:r>
      <w:r w:rsidR="00AB15D1">
        <w:rPr>
          <w:rFonts w:ascii="Arial" w:hAnsi="Arial" w:cs="Arial"/>
        </w:rPr>
        <w:t>to umowa określająca</w:t>
      </w:r>
      <w:r w:rsidR="00AB15D1" w:rsidRPr="00AB15D1">
        <w:rPr>
          <w:rFonts w:ascii="Arial" w:hAnsi="Arial" w:cs="Arial"/>
        </w:rPr>
        <w:t xml:space="preserve"> w szczególności przedsięwzięcia priorytetowe dla rozwoju danego obs</w:t>
      </w:r>
      <w:r w:rsidR="00AB15D1">
        <w:rPr>
          <w:rFonts w:ascii="Arial" w:hAnsi="Arial" w:cs="Arial"/>
        </w:rPr>
        <w:t>zaru objętego tym porozumieniem</w:t>
      </w:r>
      <w:r w:rsidR="000066EF">
        <w:rPr>
          <w:rFonts w:ascii="Arial" w:hAnsi="Arial" w:cs="Arial"/>
        </w:rPr>
        <w:t xml:space="preserve"> (</w:t>
      </w:r>
      <w:r w:rsidR="000066EF" w:rsidRPr="00A5481D">
        <w:rPr>
          <w:rFonts w:ascii="Arial" w:hAnsi="Arial" w:cs="Arial"/>
        </w:rPr>
        <w:t xml:space="preserve">te </w:t>
      </w:r>
      <w:r w:rsidR="000066EF" w:rsidRPr="000066EF">
        <w:rPr>
          <w:rFonts w:ascii="Arial" w:hAnsi="Arial" w:cs="Arial"/>
        </w:rPr>
        <w:t xml:space="preserve">które będą realizowane w ramach IIT, powinny mieć swoje odzwierciedlenie w Strategii </w:t>
      </w:r>
      <w:r w:rsidR="000066EF" w:rsidRPr="000066EF">
        <w:rPr>
          <w:rFonts w:ascii="Arial" w:hAnsi="Arial" w:cs="Arial"/>
        </w:rPr>
        <w:lastRenderedPageBreak/>
        <w:t>IIT)</w:t>
      </w:r>
      <w:r w:rsidR="00AB15D1">
        <w:rPr>
          <w:rFonts w:ascii="Arial" w:hAnsi="Arial" w:cs="Arial"/>
        </w:rPr>
        <w:t>.</w:t>
      </w:r>
      <w:r w:rsidR="00AB15D1">
        <w:t xml:space="preserve"> </w:t>
      </w:r>
      <w:r w:rsidR="000066EF" w:rsidRPr="000066EF">
        <w:rPr>
          <w:rFonts w:ascii="Arial" w:hAnsi="Arial" w:cs="Arial"/>
        </w:rPr>
        <w:t>Porozumienie terytorialne stanowi</w:t>
      </w:r>
      <w:r w:rsidR="000066EF">
        <w:t xml:space="preserve"> </w:t>
      </w:r>
      <w:r>
        <w:rPr>
          <w:rFonts w:ascii="Arial" w:hAnsi="Arial" w:cs="Arial"/>
        </w:rPr>
        <w:t>instrument do realizowania procesów rozwojowych, podejmowanych/inicjowanych z poziomu lokalnego, skoncentrowanych na współpracy jednostek samorządu terytorialnego na obszarach, gdzie zostały zidentyfikowane istotne dla rozwoju więcej niż jednej JST (gminy/powiatu), potencjały społeczne/gospodarcze lub problemy, które ograniczają uruchomienie</w:t>
      </w:r>
      <w:r w:rsidR="000066EF">
        <w:rPr>
          <w:rFonts w:ascii="Arial" w:hAnsi="Arial" w:cs="Arial"/>
        </w:rPr>
        <w:t xml:space="preserve"> i wykorzystanie potencjałów</w:t>
      </w:r>
      <w:r w:rsidRPr="000066EF">
        <w:rPr>
          <w:rFonts w:ascii="Arial" w:hAnsi="Arial" w:cs="Arial"/>
        </w:rPr>
        <w:t>.</w:t>
      </w:r>
      <w:r w:rsidR="000066EF" w:rsidRPr="000066EF">
        <w:rPr>
          <w:rFonts w:ascii="Arial" w:hAnsi="Arial" w:cs="Arial"/>
        </w:rPr>
        <w:t xml:space="preserve"> Rozdziałem 2ba </w:t>
      </w:r>
      <w:r w:rsidR="000066EF" w:rsidRPr="000066EF">
        <w:rPr>
          <w:rFonts w:ascii="Arial" w:hAnsi="Arial" w:cs="Arial"/>
          <w:i/>
        </w:rPr>
        <w:t>Kontrakt programowy i porozumienie terytorialne</w:t>
      </w:r>
      <w:r w:rsidR="000066EF" w:rsidRPr="000066EF">
        <w:rPr>
          <w:rFonts w:ascii="Arial" w:hAnsi="Arial" w:cs="Arial"/>
        </w:rPr>
        <w:t xml:space="preserve"> a</w:t>
      </w:r>
      <w:r w:rsidR="000066EF">
        <w:rPr>
          <w:rFonts w:ascii="Arial" w:hAnsi="Arial" w:cs="Arial"/>
        </w:rPr>
        <w:t>rt. 14rb ust.</w:t>
      </w:r>
      <w:r w:rsidR="000066EF" w:rsidRPr="000066EF">
        <w:rPr>
          <w:rFonts w:ascii="Arial" w:hAnsi="Arial" w:cs="Arial"/>
        </w:rPr>
        <w:t xml:space="preserve"> 1</w:t>
      </w:r>
      <w:r w:rsidR="000066EF">
        <w:rPr>
          <w:rFonts w:ascii="Arial" w:hAnsi="Arial" w:cs="Arial"/>
        </w:rPr>
        <w:t xml:space="preserve"> ww. ustawy zwiera elementy wymagane</w:t>
      </w:r>
      <w:r w:rsidR="000066EF" w:rsidRPr="000066EF">
        <w:rPr>
          <w:rFonts w:ascii="Arial" w:hAnsi="Arial" w:cs="Arial"/>
        </w:rPr>
        <w:t>.</w:t>
      </w:r>
    </w:p>
    <w:p w14:paraId="6E2DBB42" w14:textId="71FBA6A3" w:rsidR="00415641" w:rsidRPr="007D493D" w:rsidRDefault="00415641" w:rsidP="00415641">
      <w:pPr>
        <w:pStyle w:val="Akapitzlist"/>
        <w:numPr>
          <w:ilvl w:val="3"/>
          <w:numId w:val="9"/>
        </w:numPr>
        <w:ind w:left="284"/>
        <w:rPr>
          <w:rFonts w:ascii="Arial" w:hAnsi="Arial" w:cs="Arial"/>
          <w:b/>
        </w:rPr>
      </w:pPr>
      <w:r w:rsidRPr="007D493D">
        <w:rPr>
          <w:rFonts w:ascii="Arial" w:hAnsi="Arial" w:cs="Arial"/>
          <w:b/>
        </w:rPr>
        <w:t xml:space="preserve">Kontrakt sektorowy </w:t>
      </w:r>
      <w:r w:rsidR="007D493D" w:rsidRPr="007D493D">
        <w:rPr>
          <w:rFonts w:ascii="Arial" w:hAnsi="Arial" w:cs="Arial"/>
        </w:rPr>
        <w:t xml:space="preserve">– zgodnie z art. 4e </w:t>
      </w:r>
      <w:r w:rsidR="007D493D" w:rsidRPr="007D493D">
        <w:rPr>
          <w:rFonts w:ascii="Arial" w:hAnsi="Arial" w:cs="Arial"/>
          <w:i/>
        </w:rPr>
        <w:t>ustawy z dnia 6 grudnia 2006 roku o zasadach prowadzenia polityki rozwoju</w:t>
      </w:r>
      <w:r w:rsidR="007D493D" w:rsidRPr="007D493D">
        <w:rPr>
          <w:rFonts w:ascii="Arial" w:hAnsi="Arial" w:cs="Arial"/>
        </w:rPr>
        <w:t xml:space="preserve"> to umowa określająca sposób realizacji, w tym finansowania, programów rozwoju opracowanych przez właściwych ministrów w zakresie interwencji ukierunkowanej terytorialnie.</w:t>
      </w:r>
    </w:p>
    <w:p w14:paraId="5CDA1256" w14:textId="38910525" w:rsidR="00415641" w:rsidRPr="00415641" w:rsidRDefault="00415641" w:rsidP="00415641">
      <w:pPr>
        <w:pStyle w:val="Akapitzlist"/>
        <w:numPr>
          <w:ilvl w:val="3"/>
          <w:numId w:val="9"/>
        </w:numPr>
        <w:ind w:left="284"/>
        <w:rPr>
          <w:rFonts w:ascii="Arial" w:hAnsi="Arial" w:cs="Arial"/>
          <w:b/>
        </w:rPr>
      </w:pPr>
      <w:r w:rsidRPr="00415641">
        <w:rPr>
          <w:rFonts w:ascii="Arial" w:hAnsi="Arial" w:cs="Arial"/>
          <w:b/>
        </w:rPr>
        <w:t xml:space="preserve">Kontrakt </w:t>
      </w:r>
      <w:r w:rsidRPr="007D493D">
        <w:rPr>
          <w:rFonts w:ascii="Arial" w:hAnsi="Arial" w:cs="Arial"/>
          <w:b/>
        </w:rPr>
        <w:t xml:space="preserve">programowy </w:t>
      </w:r>
      <w:r w:rsidRPr="007D493D">
        <w:rPr>
          <w:rFonts w:ascii="Arial" w:hAnsi="Arial" w:cs="Arial"/>
        </w:rPr>
        <w:t>-</w:t>
      </w:r>
      <w:r w:rsidR="007D493D" w:rsidRPr="007D493D">
        <w:rPr>
          <w:rFonts w:ascii="Arial" w:hAnsi="Arial" w:cs="Arial"/>
        </w:rPr>
        <w:t xml:space="preserve"> zgodnie z art. 4d </w:t>
      </w:r>
      <w:r w:rsidR="007D493D" w:rsidRPr="007D493D">
        <w:rPr>
          <w:rFonts w:ascii="Arial" w:hAnsi="Arial" w:cs="Arial"/>
          <w:i/>
        </w:rPr>
        <w:t>ustawy z dnia 6 grudnia 2006 roku o zasadach prowadzenia polityki rozwoju</w:t>
      </w:r>
      <w:r w:rsidR="007D493D" w:rsidRPr="007D493D">
        <w:rPr>
          <w:rFonts w:ascii="Arial" w:hAnsi="Arial" w:cs="Arial"/>
        </w:rPr>
        <w:t xml:space="preserve"> </w:t>
      </w:r>
      <w:r w:rsidR="007D5A9F">
        <w:rPr>
          <w:rFonts w:ascii="Arial" w:hAnsi="Arial" w:cs="Arial"/>
        </w:rPr>
        <w:t xml:space="preserve">to </w:t>
      </w:r>
      <w:r w:rsidR="007D493D" w:rsidRPr="007D493D">
        <w:rPr>
          <w:rFonts w:ascii="Arial" w:hAnsi="Arial" w:cs="Arial"/>
        </w:rPr>
        <w:t>umowa określająca kierunki i warunki dofinansowania programu służącego realizacji umowy partnerstwa w zakresie polityki spójności, opracowanego przez zarząd województwa, w tym przedsięwzięcia priorytetowe realizowane w tym programie.</w:t>
      </w:r>
    </w:p>
    <w:p w14:paraId="1E00690A" w14:textId="555C0520" w:rsidR="004D3E34" w:rsidRDefault="00115456" w:rsidP="00632BF1">
      <w:pPr>
        <w:pStyle w:val="Akapitzlist"/>
        <w:numPr>
          <w:ilvl w:val="3"/>
          <w:numId w:val="9"/>
        </w:numPr>
        <w:ind w:left="284"/>
        <w:rPr>
          <w:rFonts w:ascii="Arial" w:hAnsi="Arial" w:cs="Arial"/>
        </w:rPr>
      </w:pPr>
      <w:r w:rsidRPr="00115456">
        <w:rPr>
          <w:rFonts w:ascii="Arial" w:hAnsi="Arial" w:cs="Arial"/>
          <w:b/>
        </w:rPr>
        <w:t>Strategia rozwoju lokalnego</w:t>
      </w:r>
      <w:r w:rsidRPr="00115456">
        <w:rPr>
          <w:rFonts w:ascii="Arial" w:hAnsi="Arial" w:cs="Arial"/>
        </w:rPr>
        <w:t xml:space="preserve"> </w:t>
      </w:r>
      <w:r w:rsidR="000A1B63">
        <w:rPr>
          <w:rFonts w:ascii="Arial" w:hAnsi="Arial" w:cs="Arial"/>
        </w:rPr>
        <w:t xml:space="preserve">- </w:t>
      </w:r>
      <w:r w:rsidRPr="00115456">
        <w:rPr>
          <w:rFonts w:ascii="Arial" w:hAnsi="Arial" w:cs="Arial"/>
        </w:rPr>
        <w:t xml:space="preserve">stanowi podstawowy dokument realizacji działań w ramach instrumentu terytorialnego rozwój lokalny kierowany przez społeczność (RLKS), </w:t>
      </w:r>
      <w:r w:rsidR="00062C7E">
        <w:rPr>
          <w:rFonts w:ascii="Arial" w:hAnsi="Arial" w:cs="Arial"/>
        </w:rPr>
        <w:br/>
      </w:r>
      <w:r w:rsidRPr="00115456">
        <w:rPr>
          <w:rFonts w:ascii="Arial" w:hAnsi="Arial" w:cs="Arial"/>
        </w:rPr>
        <w:t>o którym mowa w art. 28 lit</w:t>
      </w:r>
      <w:r w:rsidR="00C5476B">
        <w:rPr>
          <w:rFonts w:ascii="Arial" w:hAnsi="Arial" w:cs="Arial"/>
        </w:rPr>
        <w:t>.</w:t>
      </w:r>
      <w:r w:rsidRPr="00115456">
        <w:rPr>
          <w:rFonts w:ascii="Arial" w:hAnsi="Arial" w:cs="Arial"/>
        </w:rPr>
        <w:t xml:space="preserve"> b) </w:t>
      </w:r>
      <w:r w:rsidR="00632BF1" w:rsidRPr="00632BF1">
        <w:rPr>
          <w:rFonts w:ascii="Arial" w:hAnsi="Arial" w:cs="Arial"/>
        </w:rPr>
        <w:t xml:space="preserve">oraz art. </w:t>
      </w:r>
      <w:r w:rsidR="0073063E">
        <w:rPr>
          <w:rFonts w:ascii="Arial" w:hAnsi="Arial" w:cs="Arial"/>
        </w:rPr>
        <w:t>32</w:t>
      </w:r>
      <w:r w:rsidR="00632BF1" w:rsidRPr="00632BF1">
        <w:rPr>
          <w:rFonts w:ascii="Arial" w:hAnsi="Arial" w:cs="Arial"/>
        </w:rPr>
        <w:t xml:space="preserve"> rozporządzenia ogólnego</w:t>
      </w:r>
      <w:r w:rsidR="00632BF1" w:rsidRPr="00632BF1">
        <w:rPr>
          <w:rFonts w:ascii="Arial" w:eastAsia="Calibri" w:hAnsi="Arial" w:cs="Arial"/>
        </w:rPr>
        <w:t>.</w:t>
      </w:r>
      <w:r w:rsidR="00632BF1">
        <w:rPr>
          <w:rFonts w:ascii="Calibri" w:eastAsia="Calibri" w:hAnsi="Calibri" w:cs="Calibri"/>
        </w:rPr>
        <w:t xml:space="preserve"> </w:t>
      </w:r>
      <w:r w:rsidR="00632BF1" w:rsidRPr="00632BF1">
        <w:rPr>
          <w:rFonts w:ascii="Arial" w:hAnsi="Arial" w:cs="Arial"/>
        </w:rPr>
        <w:t xml:space="preserve">Realizacja RLKS odbywa się na zasadach określonych w </w:t>
      </w:r>
      <w:r w:rsidR="00632BF1" w:rsidRPr="00D55AD0">
        <w:rPr>
          <w:rFonts w:ascii="Arial" w:hAnsi="Arial" w:cs="Arial"/>
          <w:i/>
        </w:rPr>
        <w:t>ustawie z dnia 20 lutego 2015 r. o rozwoju lokalnym z udziałem lokalnej społeczności</w:t>
      </w:r>
      <w:r w:rsidR="00632BF1" w:rsidRPr="00632BF1">
        <w:rPr>
          <w:rFonts w:ascii="Arial" w:hAnsi="Arial" w:cs="Arial"/>
        </w:rPr>
        <w:t xml:space="preserve"> (Dz. U. z 2019 r. poz. 1167), a w zakresie nieuregulowanym </w:t>
      </w:r>
      <w:r w:rsidR="00094E78">
        <w:rPr>
          <w:rFonts w:ascii="Arial" w:hAnsi="Arial" w:cs="Arial"/>
        </w:rPr>
        <w:t xml:space="preserve">- </w:t>
      </w:r>
      <w:r w:rsidR="00632BF1" w:rsidRPr="00632BF1">
        <w:rPr>
          <w:rFonts w:ascii="Arial" w:hAnsi="Arial" w:cs="Arial"/>
        </w:rPr>
        <w:t>w</w:t>
      </w:r>
      <w:r w:rsidR="00632BF1" w:rsidRPr="00632BF1">
        <w:rPr>
          <w:rFonts w:ascii="Arial" w:eastAsia="Calibri" w:hAnsi="Arial" w:cs="Arial"/>
        </w:rPr>
        <w:t xml:space="preserve"> </w:t>
      </w:r>
      <w:r w:rsidR="00094E78" w:rsidRPr="00D55AD0">
        <w:rPr>
          <w:rFonts w:ascii="Arial" w:hAnsi="Arial" w:cs="Arial"/>
          <w:i/>
        </w:rPr>
        <w:t>ustawie o zasadach realizacji zadań finansowanych ze środków europejskich w perspektywie finansowej 2021-2027</w:t>
      </w:r>
      <w:r w:rsidR="00094E78" w:rsidRPr="00925BE3">
        <w:rPr>
          <w:rFonts w:ascii="Arial" w:hAnsi="Arial" w:cs="Arial"/>
        </w:rPr>
        <w:t xml:space="preserve"> (tzw. ustawa wdrożeniowa)</w:t>
      </w:r>
      <w:r w:rsidR="00094E78">
        <w:rPr>
          <w:rFonts w:ascii="Arial" w:hAnsi="Arial" w:cs="Arial"/>
        </w:rPr>
        <w:t xml:space="preserve">.  </w:t>
      </w:r>
      <w:r w:rsidR="00094E78" w:rsidRPr="00094E78">
        <w:rPr>
          <w:rFonts w:ascii="Arial" w:eastAsia="Calibri" w:hAnsi="Arial" w:cs="Arial"/>
        </w:rPr>
        <w:t xml:space="preserve">RLKS jest wdrażany przez lokalne grupy działania (LGD) w oparciu o strategie rozwoju lokalnego.  </w:t>
      </w:r>
    </w:p>
    <w:p w14:paraId="10CA7230" w14:textId="18217294" w:rsidR="00240027" w:rsidRDefault="004D3E34" w:rsidP="004D3E34">
      <w:pPr>
        <w:pStyle w:val="Akapitzlist"/>
        <w:numPr>
          <w:ilvl w:val="3"/>
          <w:numId w:val="9"/>
        </w:numPr>
        <w:ind w:left="284"/>
        <w:rPr>
          <w:rFonts w:ascii="Arial" w:hAnsi="Arial" w:cs="Arial"/>
        </w:rPr>
      </w:pPr>
      <w:r w:rsidRPr="00A5481D">
        <w:rPr>
          <w:rFonts w:ascii="Arial" w:hAnsi="Arial" w:cs="Arial"/>
          <w:b/>
        </w:rPr>
        <w:t>Centrum Wsparcia Doradczego</w:t>
      </w:r>
      <w:r w:rsidRPr="00A5481D">
        <w:rPr>
          <w:rFonts w:ascii="Arial" w:hAnsi="Arial" w:cs="Arial"/>
        </w:rPr>
        <w:t xml:space="preserve"> </w:t>
      </w:r>
      <w:r w:rsidRPr="00A5481D">
        <w:rPr>
          <w:rFonts w:ascii="Arial" w:hAnsi="Arial" w:cs="Arial"/>
          <w:b/>
        </w:rPr>
        <w:t>(CWD)</w:t>
      </w:r>
      <w:r w:rsidRPr="00A5481D">
        <w:rPr>
          <w:rFonts w:ascii="Arial" w:hAnsi="Arial" w:cs="Arial"/>
        </w:rPr>
        <w:t xml:space="preserve"> – pilotaż </w:t>
      </w:r>
      <w:proofErr w:type="spellStart"/>
      <w:r w:rsidRPr="00A5481D">
        <w:rPr>
          <w:rFonts w:ascii="Arial" w:hAnsi="Arial" w:cs="Arial"/>
        </w:rPr>
        <w:t>MFiPR</w:t>
      </w:r>
      <w:proofErr w:type="spellEnd"/>
      <w:r w:rsidRPr="00A5481D">
        <w:rPr>
          <w:rFonts w:ascii="Arial" w:hAnsi="Arial" w:cs="Arial"/>
        </w:rPr>
        <w:t xml:space="preserve"> mający zapewnić przygotowanie w 38 partnerstwach JST „</w:t>
      </w:r>
      <w:r w:rsidRPr="00D55AD0">
        <w:rPr>
          <w:rFonts w:ascii="Arial" w:hAnsi="Arial" w:cs="Arial"/>
          <w:i/>
        </w:rPr>
        <w:t>strategii terytorialnej z pakietem projektów</w:t>
      </w:r>
      <w:r w:rsidRPr="00A5481D">
        <w:rPr>
          <w:rFonts w:ascii="Arial" w:hAnsi="Arial" w:cs="Arial"/>
        </w:rPr>
        <w:t>”, tj. przygotowanie diagnozy (w tym wnioski z diagnozy), opracowanie projektu strategii terytorialnej, pakiet</w:t>
      </w:r>
      <w:r w:rsidR="00D55AD0">
        <w:rPr>
          <w:rFonts w:ascii="Arial" w:hAnsi="Arial" w:cs="Arial"/>
        </w:rPr>
        <w:t>u</w:t>
      </w:r>
      <w:r w:rsidRPr="00A5481D">
        <w:rPr>
          <w:rFonts w:ascii="Arial" w:hAnsi="Arial" w:cs="Arial"/>
        </w:rPr>
        <w:t xml:space="preserve"> projektów (w tym analizy wykonalności), zaangażowanie partnerów społecznych i gospodarczych.</w:t>
      </w:r>
    </w:p>
    <w:p w14:paraId="418B4ED7" w14:textId="77777777" w:rsidR="000A6964" w:rsidRDefault="00891AD9" w:rsidP="00891AD9">
      <w:pPr>
        <w:pStyle w:val="Akapitzlist"/>
        <w:numPr>
          <w:ilvl w:val="3"/>
          <w:numId w:val="9"/>
        </w:numPr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Projekt zintegrowany </w:t>
      </w:r>
      <w:r w:rsidRPr="00891A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</w:t>
      </w:r>
      <w:r w:rsidRPr="00891AD9">
        <w:rPr>
          <w:rFonts w:ascii="Arial" w:hAnsi="Arial" w:cs="Arial"/>
        </w:rPr>
        <w:t xml:space="preserve">rojekt uznaje się za zintegrowany sam w sobie, jeśli spełnia co najmniej jeden z następujących warunków: </w:t>
      </w:r>
    </w:p>
    <w:p w14:paraId="185C58D0" w14:textId="77777777" w:rsidR="000A6964" w:rsidRDefault="00891AD9" w:rsidP="000A6964">
      <w:pPr>
        <w:pStyle w:val="Akapitzlist"/>
        <w:ind w:left="567" w:hanging="284"/>
        <w:rPr>
          <w:rFonts w:ascii="Arial" w:hAnsi="Arial" w:cs="Arial"/>
        </w:rPr>
      </w:pPr>
      <w:r w:rsidRPr="00891AD9">
        <w:rPr>
          <w:rFonts w:ascii="Arial" w:hAnsi="Arial" w:cs="Arial"/>
        </w:rPr>
        <w:t>a) projekt obejmuje różne sektory (takie jak sektor społeczny, gospodarczy i środowiskowy), projekt integruje kilka rodzajów interesariuszy (władze publiczne, podmioty prywatne, organizacje pozarządowe),</w:t>
      </w:r>
    </w:p>
    <w:p w14:paraId="29C7DAB6" w14:textId="77777777" w:rsidR="000A6964" w:rsidRDefault="00891AD9" w:rsidP="000A6964">
      <w:pPr>
        <w:pStyle w:val="Akapitzlist"/>
        <w:ind w:left="284"/>
        <w:rPr>
          <w:rFonts w:ascii="Arial" w:hAnsi="Arial" w:cs="Arial"/>
        </w:rPr>
      </w:pPr>
      <w:r w:rsidRPr="00891AD9">
        <w:rPr>
          <w:rFonts w:ascii="Arial" w:hAnsi="Arial" w:cs="Arial"/>
        </w:rPr>
        <w:t xml:space="preserve">b) projekt obejmuje różne terytoria administracyjne (np. gminy) oraz </w:t>
      </w:r>
    </w:p>
    <w:p w14:paraId="731E45F7" w14:textId="77777777" w:rsidR="00891AD9" w:rsidRDefault="00891AD9" w:rsidP="000A6964">
      <w:pPr>
        <w:pStyle w:val="Akapitzlist"/>
        <w:ind w:left="567" w:hanging="283"/>
        <w:rPr>
          <w:rFonts w:ascii="Arial" w:hAnsi="Arial" w:cs="Arial"/>
        </w:rPr>
      </w:pPr>
      <w:r w:rsidRPr="00891AD9">
        <w:rPr>
          <w:rFonts w:ascii="Arial" w:hAnsi="Arial" w:cs="Arial"/>
        </w:rPr>
        <w:t>c) projekt obejmuje kilka rodzajów interesariuszy (władze publiczne, podmioty prywatne, organizacje pozarządowe)</w:t>
      </w:r>
      <w:r>
        <w:rPr>
          <w:rStyle w:val="Odwoanieprzypisudolnego"/>
          <w:rFonts w:ascii="Arial" w:hAnsi="Arial" w:cs="Arial"/>
        </w:rPr>
        <w:footnoteReference w:id="2"/>
      </w:r>
      <w:r w:rsidRPr="00891AD9">
        <w:rPr>
          <w:rFonts w:ascii="Arial" w:hAnsi="Arial" w:cs="Arial"/>
        </w:rPr>
        <w:t>.</w:t>
      </w:r>
    </w:p>
    <w:p w14:paraId="3F0EDCC2" w14:textId="28BA20C0" w:rsidR="005204D4" w:rsidRDefault="00927785" w:rsidP="006642E0">
      <w:pPr>
        <w:pStyle w:val="Akapitzlist"/>
        <w:numPr>
          <w:ilvl w:val="3"/>
          <w:numId w:val="9"/>
        </w:numPr>
        <w:ind w:left="284"/>
      </w:pPr>
      <w:r w:rsidRPr="00927785">
        <w:rPr>
          <w:rFonts w:ascii="Arial" w:hAnsi="Arial" w:cs="Arial"/>
          <w:b/>
        </w:rPr>
        <w:t>Zrównoważona turystyka</w:t>
      </w:r>
      <w:r>
        <w:rPr>
          <w:rFonts w:ascii="Arial" w:hAnsi="Arial" w:cs="Arial"/>
        </w:rPr>
        <w:t xml:space="preserve"> </w:t>
      </w:r>
      <w:r w:rsidR="006642E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642E0">
        <w:rPr>
          <w:rFonts w:ascii="Arial" w:hAnsi="Arial" w:cs="Arial"/>
        </w:rPr>
        <w:t>według Światowej Organizacji</w:t>
      </w:r>
      <w:r w:rsidR="006642E0" w:rsidRPr="006642E0">
        <w:rPr>
          <w:rFonts w:ascii="Arial" w:hAnsi="Arial" w:cs="Arial"/>
        </w:rPr>
        <w:t xml:space="preserve"> Turystyki</w:t>
      </w:r>
      <w:r w:rsidR="006642E0">
        <w:rPr>
          <w:rFonts w:ascii="Arial" w:hAnsi="Arial" w:cs="Arial"/>
        </w:rPr>
        <w:t xml:space="preserve"> (UNWTO) </w:t>
      </w:r>
      <w:r w:rsidR="006642E0" w:rsidRPr="006642E0">
        <w:rPr>
          <w:rFonts w:ascii="Arial" w:hAnsi="Arial" w:cs="Arial"/>
        </w:rPr>
        <w:t>to turystyka, która prowadzi do zarządzania wszystkimi zasobami w taki sposób, aby potrzeby ekonomiczne, społeczne i estetyczne były spełnione przy jednoczesnym zachowaniu integralności kulturowej, różnorodności biologicznej, systemów podtrzymywania życia oraz nie zaburzając kluczowych procesów ekologicznych.</w:t>
      </w:r>
    </w:p>
    <w:sectPr w:rsidR="005204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97515" w14:textId="77777777" w:rsidR="00BC0398" w:rsidRDefault="00BC0398" w:rsidP="006B1936">
      <w:pPr>
        <w:spacing w:after="0" w:line="240" w:lineRule="auto"/>
      </w:pPr>
      <w:r>
        <w:separator/>
      </w:r>
    </w:p>
  </w:endnote>
  <w:endnote w:type="continuationSeparator" w:id="0">
    <w:p w14:paraId="14EEE6BB" w14:textId="77777777" w:rsidR="00BC0398" w:rsidRDefault="00BC0398" w:rsidP="006B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428722"/>
      <w:docPartObj>
        <w:docPartGallery w:val="Page Numbers (Bottom of Page)"/>
        <w:docPartUnique/>
      </w:docPartObj>
    </w:sdtPr>
    <w:sdtEndPr/>
    <w:sdtContent>
      <w:p w14:paraId="30186249" w14:textId="2B5FA2C5" w:rsidR="006E22FF" w:rsidRDefault="006E22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3A9">
          <w:rPr>
            <w:noProof/>
          </w:rPr>
          <w:t>2</w:t>
        </w:r>
        <w:r>
          <w:fldChar w:fldCharType="end"/>
        </w:r>
      </w:p>
    </w:sdtContent>
  </w:sdt>
  <w:p w14:paraId="327F5C0B" w14:textId="77777777" w:rsidR="006E22FF" w:rsidRDefault="006E2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D911E" w14:textId="77777777" w:rsidR="00BC0398" w:rsidRDefault="00BC0398" w:rsidP="006B1936">
      <w:pPr>
        <w:spacing w:after="0" w:line="240" w:lineRule="auto"/>
      </w:pPr>
      <w:r>
        <w:separator/>
      </w:r>
    </w:p>
  </w:footnote>
  <w:footnote w:type="continuationSeparator" w:id="0">
    <w:p w14:paraId="7AD5811D" w14:textId="77777777" w:rsidR="00BC0398" w:rsidRDefault="00BC0398" w:rsidP="006B1936">
      <w:pPr>
        <w:spacing w:after="0" w:line="240" w:lineRule="auto"/>
      </w:pPr>
      <w:r>
        <w:continuationSeparator/>
      </w:r>
    </w:p>
  </w:footnote>
  <w:footnote w:id="1">
    <w:p w14:paraId="72CF4AE3" w14:textId="77777777" w:rsidR="00144CEA" w:rsidRPr="000066EF" w:rsidRDefault="00144CEA" w:rsidP="00144C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066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66EF">
        <w:rPr>
          <w:rFonts w:ascii="Arial" w:hAnsi="Arial" w:cs="Arial"/>
          <w:sz w:val="16"/>
          <w:szCs w:val="16"/>
        </w:rPr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</w:footnote>
  <w:footnote w:id="2">
    <w:p w14:paraId="1578DFDA" w14:textId="77777777" w:rsidR="00891AD9" w:rsidRDefault="00891AD9">
      <w:pPr>
        <w:pStyle w:val="Tekstprzypisudolnego"/>
      </w:pPr>
      <w:r>
        <w:rPr>
          <w:rStyle w:val="Odwoanieprzypisudolnego"/>
        </w:rPr>
        <w:footnoteRef/>
      </w:r>
      <w:r>
        <w:t xml:space="preserve"> Dokument Roboczy Służb Komisji, </w:t>
      </w:r>
      <w:r w:rsidRPr="00891AD9">
        <w:rPr>
          <w:i/>
        </w:rPr>
        <w:t>Wyniki, monitorowanie i ewaluacja Europejskiego Funduszu Rozwoju Regionalnego, Funduszu Spójności oraz Funduszu na rzecz Sprawiedliwej Transformacji w latach 2021-2027</w:t>
      </w:r>
      <w:r>
        <w:t xml:space="preserve">, </w:t>
      </w:r>
      <w:r w:rsidRPr="00891AD9">
        <w:t xml:space="preserve">Bruksela, 8.07.2021 r. SWD(2021) 198 </w:t>
      </w:r>
      <w:proofErr w:type="spellStart"/>
      <w:r w:rsidRPr="00891AD9">
        <w:t>final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730"/>
    <w:multiLevelType w:val="hybridMultilevel"/>
    <w:tmpl w:val="E6841D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506FDD"/>
    <w:multiLevelType w:val="hybridMultilevel"/>
    <w:tmpl w:val="911439C4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B2423D"/>
    <w:multiLevelType w:val="hybridMultilevel"/>
    <w:tmpl w:val="A2C0516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15352"/>
    <w:multiLevelType w:val="hybridMultilevel"/>
    <w:tmpl w:val="A17A5604"/>
    <w:lvl w:ilvl="0" w:tplc="55588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515FC"/>
    <w:multiLevelType w:val="hybridMultilevel"/>
    <w:tmpl w:val="162A8C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63F5"/>
    <w:multiLevelType w:val="hybridMultilevel"/>
    <w:tmpl w:val="FF4EF9E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F73340"/>
    <w:multiLevelType w:val="hybridMultilevel"/>
    <w:tmpl w:val="9DB4A1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7A4B"/>
    <w:multiLevelType w:val="hybridMultilevel"/>
    <w:tmpl w:val="E4A07F92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4B11BC"/>
    <w:multiLevelType w:val="hybridMultilevel"/>
    <w:tmpl w:val="07D6E6A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192DA8"/>
    <w:multiLevelType w:val="hybridMultilevel"/>
    <w:tmpl w:val="98C8CE4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2330"/>
    <w:multiLevelType w:val="hybridMultilevel"/>
    <w:tmpl w:val="03E84664"/>
    <w:lvl w:ilvl="0" w:tplc="57FE28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5F0B8B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C67BD"/>
    <w:multiLevelType w:val="hybridMultilevel"/>
    <w:tmpl w:val="1198474A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6F258E"/>
    <w:multiLevelType w:val="hybridMultilevel"/>
    <w:tmpl w:val="F4AC016A"/>
    <w:lvl w:ilvl="0" w:tplc="BD923D7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9D45BE"/>
    <w:multiLevelType w:val="hybridMultilevel"/>
    <w:tmpl w:val="B42440B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333B73"/>
    <w:multiLevelType w:val="hybridMultilevel"/>
    <w:tmpl w:val="8F46DED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1A5770"/>
    <w:multiLevelType w:val="hybridMultilevel"/>
    <w:tmpl w:val="7B340E3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57040"/>
    <w:multiLevelType w:val="hybridMultilevel"/>
    <w:tmpl w:val="39E8FCF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B3220E"/>
    <w:multiLevelType w:val="hybridMultilevel"/>
    <w:tmpl w:val="1B609BA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E7265C8"/>
    <w:multiLevelType w:val="hybridMultilevel"/>
    <w:tmpl w:val="FDF2DC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55808"/>
    <w:multiLevelType w:val="hybridMultilevel"/>
    <w:tmpl w:val="CEF87F5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33AF6"/>
    <w:multiLevelType w:val="hybridMultilevel"/>
    <w:tmpl w:val="5DEA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54ED4"/>
    <w:multiLevelType w:val="hybridMultilevel"/>
    <w:tmpl w:val="E1F2BB72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CC861D2"/>
    <w:multiLevelType w:val="hybridMultilevel"/>
    <w:tmpl w:val="2222EA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77272"/>
    <w:multiLevelType w:val="hybridMultilevel"/>
    <w:tmpl w:val="C05AEE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23"/>
  </w:num>
  <w:num w:numId="4">
    <w:abstractNumId w:val="22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21"/>
  </w:num>
  <w:num w:numId="13">
    <w:abstractNumId w:val="7"/>
  </w:num>
  <w:num w:numId="14">
    <w:abstractNumId w:val="15"/>
  </w:num>
  <w:num w:numId="15">
    <w:abstractNumId w:val="3"/>
  </w:num>
  <w:num w:numId="16">
    <w:abstractNumId w:val="2"/>
  </w:num>
  <w:num w:numId="17">
    <w:abstractNumId w:val="16"/>
  </w:num>
  <w:num w:numId="18">
    <w:abstractNumId w:val="19"/>
  </w:num>
  <w:num w:numId="19">
    <w:abstractNumId w:val="8"/>
  </w:num>
  <w:num w:numId="20">
    <w:abstractNumId w:val="14"/>
  </w:num>
  <w:num w:numId="21">
    <w:abstractNumId w:val="0"/>
  </w:num>
  <w:num w:numId="22">
    <w:abstractNumId w:val="13"/>
  </w:num>
  <w:num w:numId="23">
    <w:abstractNumId w:val="5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D4"/>
    <w:rsid w:val="000066EF"/>
    <w:rsid w:val="000108CD"/>
    <w:rsid w:val="0003679B"/>
    <w:rsid w:val="00041015"/>
    <w:rsid w:val="000546A6"/>
    <w:rsid w:val="00062C7E"/>
    <w:rsid w:val="00064917"/>
    <w:rsid w:val="0007251C"/>
    <w:rsid w:val="0008392A"/>
    <w:rsid w:val="0008545A"/>
    <w:rsid w:val="00094E78"/>
    <w:rsid w:val="000A021A"/>
    <w:rsid w:val="000A1B63"/>
    <w:rsid w:val="000A6964"/>
    <w:rsid w:val="00100D3D"/>
    <w:rsid w:val="00115456"/>
    <w:rsid w:val="00127E5D"/>
    <w:rsid w:val="00136619"/>
    <w:rsid w:val="00140B82"/>
    <w:rsid w:val="00144CEA"/>
    <w:rsid w:val="00163A64"/>
    <w:rsid w:val="001936AB"/>
    <w:rsid w:val="00195CDB"/>
    <w:rsid w:val="001B15B4"/>
    <w:rsid w:val="001F4ADB"/>
    <w:rsid w:val="00211141"/>
    <w:rsid w:val="00234C47"/>
    <w:rsid w:val="00240027"/>
    <w:rsid w:val="00277D3E"/>
    <w:rsid w:val="00295E52"/>
    <w:rsid w:val="002A0F94"/>
    <w:rsid w:val="002C4A97"/>
    <w:rsid w:val="002D0A35"/>
    <w:rsid w:val="002E306C"/>
    <w:rsid w:val="00315A59"/>
    <w:rsid w:val="00351FDD"/>
    <w:rsid w:val="00352DB3"/>
    <w:rsid w:val="00367635"/>
    <w:rsid w:val="00373C35"/>
    <w:rsid w:val="003B17D7"/>
    <w:rsid w:val="003B6CB5"/>
    <w:rsid w:val="003D13C3"/>
    <w:rsid w:val="003D325A"/>
    <w:rsid w:val="00402AC8"/>
    <w:rsid w:val="00415641"/>
    <w:rsid w:val="004276C9"/>
    <w:rsid w:val="004C1796"/>
    <w:rsid w:val="004D3E34"/>
    <w:rsid w:val="004D59C8"/>
    <w:rsid w:val="005204D4"/>
    <w:rsid w:val="005205D6"/>
    <w:rsid w:val="005B7502"/>
    <w:rsid w:val="005B7B3F"/>
    <w:rsid w:val="005D3633"/>
    <w:rsid w:val="005E6B0A"/>
    <w:rsid w:val="006072F0"/>
    <w:rsid w:val="00632BF1"/>
    <w:rsid w:val="00646197"/>
    <w:rsid w:val="006632FB"/>
    <w:rsid w:val="006642E0"/>
    <w:rsid w:val="00687780"/>
    <w:rsid w:val="00697B94"/>
    <w:rsid w:val="006A461C"/>
    <w:rsid w:val="006B1936"/>
    <w:rsid w:val="006C3AA3"/>
    <w:rsid w:val="006E22FF"/>
    <w:rsid w:val="006F531D"/>
    <w:rsid w:val="00707E67"/>
    <w:rsid w:val="0073063E"/>
    <w:rsid w:val="00734517"/>
    <w:rsid w:val="00742D99"/>
    <w:rsid w:val="00756498"/>
    <w:rsid w:val="007677D1"/>
    <w:rsid w:val="0079307E"/>
    <w:rsid w:val="007A0242"/>
    <w:rsid w:val="007D493D"/>
    <w:rsid w:val="007D5709"/>
    <w:rsid w:val="007D5A9F"/>
    <w:rsid w:val="00822546"/>
    <w:rsid w:val="00891AD9"/>
    <w:rsid w:val="008C0821"/>
    <w:rsid w:val="008E26BF"/>
    <w:rsid w:val="00925BE3"/>
    <w:rsid w:val="00927785"/>
    <w:rsid w:val="009B404D"/>
    <w:rsid w:val="009B4A79"/>
    <w:rsid w:val="009C2ABE"/>
    <w:rsid w:val="00A21D2F"/>
    <w:rsid w:val="00A26F62"/>
    <w:rsid w:val="00A4730A"/>
    <w:rsid w:val="00A5481D"/>
    <w:rsid w:val="00AA290B"/>
    <w:rsid w:val="00AB15D1"/>
    <w:rsid w:val="00AD2E6B"/>
    <w:rsid w:val="00B0316A"/>
    <w:rsid w:val="00B67FA6"/>
    <w:rsid w:val="00BC0398"/>
    <w:rsid w:val="00C25AFD"/>
    <w:rsid w:val="00C357EE"/>
    <w:rsid w:val="00C5476B"/>
    <w:rsid w:val="00C837D8"/>
    <w:rsid w:val="00CB242E"/>
    <w:rsid w:val="00CE67BC"/>
    <w:rsid w:val="00D243A9"/>
    <w:rsid w:val="00D458DA"/>
    <w:rsid w:val="00D55AD0"/>
    <w:rsid w:val="00D76D92"/>
    <w:rsid w:val="00DB1504"/>
    <w:rsid w:val="00E03183"/>
    <w:rsid w:val="00E167EC"/>
    <w:rsid w:val="00E2264C"/>
    <w:rsid w:val="00E53BB5"/>
    <w:rsid w:val="00E56E7B"/>
    <w:rsid w:val="00E63106"/>
    <w:rsid w:val="00E961B8"/>
    <w:rsid w:val="00E971B3"/>
    <w:rsid w:val="00EA4F5E"/>
    <w:rsid w:val="00F0212A"/>
    <w:rsid w:val="00F218D5"/>
    <w:rsid w:val="00F71527"/>
    <w:rsid w:val="00FB6730"/>
    <w:rsid w:val="00FC62B3"/>
    <w:rsid w:val="00F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D27D"/>
  <w15:chartTrackingRefBased/>
  <w15:docId w15:val="{48F42806-2BE6-4350-A751-C4DAEA89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4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936"/>
    <w:rPr>
      <w:sz w:val="20"/>
      <w:szCs w:val="20"/>
    </w:rPr>
  </w:style>
  <w:style w:type="character" w:styleId="Odwoanieprzypisudolnego">
    <w:name w:val="footnote reference"/>
    <w:aliases w:val="Odwołanie przypisu Ola,Numbering - Footnote,ftref,Odwołanie przypisu,EN Footnote Reference,Times 10 Point,Exposant 3 Point,Footnote symbol,Footnote reference number,note TESI,stylish,Footnote Reference Number,SUPERS,Ref,number"/>
    <w:basedOn w:val="Domylnaczcionkaakapitu"/>
    <w:unhideWhenUsed/>
    <w:rsid w:val="006B19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498"/>
  </w:style>
  <w:style w:type="paragraph" w:styleId="Stopka">
    <w:name w:val="footer"/>
    <w:basedOn w:val="Normalny"/>
    <w:link w:val="StopkaZnak"/>
    <w:uiPriority w:val="99"/>
    <w:unhideWhenUsed/>
    <w:rsid w:val="0075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498"/>
  </w:style>
  <w:style w:type="character" w:styleId="Odwoaniedokomentarza">
    <w:name w:val="annotation reference"/>
    <w:basedOn w:val="Domylnaczcionkaakapitu"/>
    <w:uiPriority w:val="99"/>
    <w:semiHidden/>
    <w:unhideWhenUsed/>
    <w:rsid w:val="00767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7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7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7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4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122A-ADB2-401F-AE72-14C7D0BE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projektu programu Fundusze Europejskie dla Podkarpacia 2021-2027</vt:lpstr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projektu programu Fundusze Europejskie dla Podkarpacia 2021-2027</dc:title>
  <dc:subject>Słownik Definicji</dc:subject>
  <dc:creator>Urząd Marszałkowski Województwa Podkarpackiego</dc:creator>
  <cp:keywords/>
  <dc:description/>
  <cp:lastModifiedBy>Zając Monika</cp:lastModifiedBy>
  <cp:revision>40</cp:revision>
  <cp:lastPrinted>2021-12-20T11:39:00Z</cp:lastPrinted>
  <dcterms:created xsi:type="dcterms:W3CDTF">2021-10-19T06:13:00Z</dcterms:created>
  <dcterms:modified xsi:type="dcterms:W3CDTF">2021-12-30T08:33:00Z</dcterms:modified>
</cp:coreProperties>
</file>