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E8C8" w14:textId="77777777" w:rsidR="00DC3714" w:rsidRPr="002E1CAA" w:rsidRDefault="002E1CAA" w:rsidP="00BB1D4D">
      <w:pPr>
        <w:jc w:val="right"/>
        <w:rPr>
          <w:b w:val="0"/>
        </w:rPr>
      </w:pPr>
      <w:r w:rsidRPr="002E1CAA">
        <w:t xml:space="preserve">Załącznik nr </w:t>
      </w:r>
      <w:r w:rsidR="00CC66E4">
        <w:t>1</w:t>
      </w:r>
    </w:p>
    <w:p w14:paraId="609E13FA" w14:textId="46F9B704" w:rsidR="006A7050" w:rsidRPr="00C02F93" w:rsidRDefault="00FF52C8" w:rsidP="00C02F93">
      <w:pPr>
        <w:pStyle w:val="Nagwek1"/>
      </w:pPr>
      <w:r w:rsidRPr="00C02F93">
        <w:t>L</w:t>
      </w:r>
      <w:r w:rsidR="00DC3714" w:rsidRPr="00C02F93">
        <w:t xml:space="preserve">ista wskaźników produktu dla </w:t>
      </w:r>
      <w:r w:rsidRPr="00C02F93">
        <w:t>PT</w:t>
      </w:r>
      <w:r w:rsidR="000C6EEE" w:rsidRPr="00C02F93">
        <w:t xml:space="preserve"> </w:t>
      </w:r>
    </w:p>
    <w:p w14:paraId="6B89387B" w14:textId="21064F5A" w:rsidR="003F16AF" w:rsidRDefault="003F16AF" w:rsidP="006A7050">
      <w:pPr>
        <w:spacing w:after="0"/>
        <w:jc w:val="center"/>
        <w:rPr>
          <w:rFonts w:cs="Arial"/>
          <w:b w:val="0"/>
          <w:sz w:val="20"/>
          <w:szCs w:val="20"/>
        </w:rPr>
      </w:pPr>
    </w:p>
    <w:p w14:paraId="0A1EFE00" w14:textId="6202F25B" w:rsidR="00392D85" w:rsidRDefault="00392D85" w:rsidP="006A7050">
      <w:pPr>
        <w:spacing w:after="0"/>
        <w:jc w:val="center"/>
        <w:rPr>
          <w:rFonts w:cs="Arial"/>
          <w:b w:val="0"/>
          <w:sz w:val="20"/>
          <w:szCs w:val="20"/>
        </w:rPr>
      </w:pPr>
    </w:p>
    <w:tbl>
      <w:tblPr>
        <w:tblStyle w:val="Tabela-Siatka"/>
        <w:tblW w:w="0" w:type="auto"/>
        <w:tblLook w:val="04A0" w:firstRow="1" w:lastRow="0" w:firstColumn="1" w:lastColumn="0" w:noHBand="0" w:noVBand="1"/>
        <w:tblCaption w:val="Lista wskaźników produktu dla Pomocy technicznej"/>
        <w:tblDescription w:val="Tabela przedstawia dziesięć wskaźników produktu dla Pomocy technicznej z ich definicją oraz sposobem pomiaru i jednostką."/>
      </w:tblPr>
      <w:tblGrid>
        <w:gridCol w:w="652"/>
        <w:gridCol w:w="2209"/>
        <w:gridCol w:w="5462"/>
        <w:gridCol w:w="1305"/>
      </w:tblGrid>
      <w:tr w:rsidR="00392D85" w:rsidRPr="00C02F93" w14:paraId="0BE99C2E" w14:textId="77777777" w:rsidTr="00B634E2">
        <w:trPr>
          <w:tblHeader/>
        </w:trPr>
        <w:tc>
          <w:tcPr>
            <w:tcW w:w="675" w:type="dxa"/>
          </w:tcPr>
          <w:p w14:paraId="0433A8E8" w14:textId="5B07450F" w:rsidR="00392D85" w:rsidRPr="00C02F93" w:rsidRDefault="00392D85" w:rsidP="00C02F93">
            <w:pPr>
              <w:pStyle w:val="Nagwek2"/>
            </w:pPr>
            <w:r w:rsidRPr="00C02F93">
              <w:t>Lp.</w:t>
            </w:r>
          </w:p>
        </w:tc>
        <w:tc>
          <w:tcPr>
            <w:tcW w:w="2127" w:type="dxa"/>
          </w:tcPr>
          <w:p w14:paraId="4CE37498" w14:textId="737977AC" w:rsidR="00392D85" w:rsidRPr="00C02F93" w:rsidRDefault="00392D85" w:rsidP="00C02F93">
            <w:pPr>
              <w:pStyle w:val="Nagwek2"/>
            </w:pPr>
            <w:r w:rsidRPr="00C02F93">
              <w:t>Nazwa</w:t>
            </w:r>
          </w:p>
        </w:tc>
        <w:tc>
          <w:tcPr>
            <w:tcW w:w="5811" w:type="dxa"/>
          </w:tcPr>
          <w:p w14:paraId="4CFCBA6B" w14:textId="232D0E13" w:rsidR="00392D85" w:rsidRPr="00C02F93" w:rsidRDefault="00A824B3" w:rsidP="00C02F93">
            <w:pPr>
              <w:pStyle w:val="Nagwek2"/>
            </w:pPr>
            <w:r w:rsidRPr="00C02F93">
              <w:t>Definicja i sposób pomiaru</w:t>
            </w:r>
          </w:p>
        </w:tc>
        <w:tc>
          <w:tcPr>
            <w:tcW w:w="1165" w:type="dxa"/>
          </w:tcPr>
          <w:p w14:paraId="1688747D" w14:textId="09AADABF" w:rsidR="00392D85" w:rsidRPr="00C02F93" w:rsidRDefault="00A824B3" w:rsidP="00C02F93">
            <w:pPr>
              <w:pStyle w:val="Nagwek2"/>
            </w:pPr>
            <w:r w:rsidRPr="00C02F93">
              <w:t>Jednostka pomiaru</w:t>
            </w:r>
          </w:p>
        </w:tc>
      </w:tr>
      <w:tr w:rsidR="00392D85" w:rsidRPr="00C66F23" w14:paraId="774A0D8D" w14:textId="77777777" w:rsidTr="00A824B3">
        <w:tc>
          <w:tcPr>
            <w:tcW w:w="675" w:type="dxa"/>
          </w:tcPr>
          <w:p w14:paraId="1C19501A" w14:textId="582E6D3E" w:rsidR="00392D85" w:rsidRPr="00C66F23" w:rsidRDefault="00A824B3" w:rsidP="00B634E2">
            <w:pPr>
              <w:spacing w:line="360" w:lineRule="auto"/>
              <w:rPr>
                <w:rFonts w:cs="Arial"/>
                <w:bCs/>
                <w:sz w:val="22"/>
              </w:rPr>
            </w:pPr>
            <w:r w:rsidRPr="00C66F23">
              <w:rPr>
                <w:rFonts w:cs="Arial"/>
                <w:bCs/>
                <w:sz w:val="22"/>
              </w:rPr>
              <w:t>1.</w:t>
            </w:r>
          </w:p>
        </w:tc>
        <w:tc>
          <w:tcPr>
            <w:tcW w:w="2127" w:type="dxa"/>
          </w:tcPr>
          <w:p w14:paraId="1222C28D" w14:textId="0875E275" w:rsidR="00392D85" w:rsidRPr="00C66F23" w:rsidRDefault="00A824B3" w:rsidP="00B634E2">
            <w:pPr>
              <w:spacing w:line="360" w:lineRule="auto"/>
              <w:rPr>
                <w:rFonts w:cs="Arial"/>
                <w:bCs/>
                <w:sz w:val="22"/>
              </w:rPr>
            </w:pPr>
            <w:r w:rsidRPr="00C66F23">
              <w:rPr>
                <w:rFonts w:cs="Arial"/>
                <w:bCs/>
                <w:sz w:val="22"/>
              </w:rPr>
              <w:t xml:space="preserve">Liczba </w:t>
            </w:r>
            <w:proofErr w:type="spellStart"/>
            <w:r w:rsidRPr="00C66F23">
              <w:rPr>
                <w:rFonts w:cs="Arial"/>
                <w:bCs/>
                <w:sz w:val="22"/>
              </w:rPr>
              <w:t>etatomiesięcy</w:t>
            </w:r>
            <w:proofErr w:type="spellEnd"/>
            <w:r w:rsidRPr="00C66F23">
              <w:rPr>
                <w:rFonts w:cs="Arial"/>
                <w:bCs/>
                <w:sz w:val="22"/>
              </w:rPr>
              <w:t xml:space="preserve"> finansowanych ze środków pomocy technicznej</w:t>
            </w:r>
          </w:p>
        </w:tc>
        <w:tc>
          <w:tcPr>
            <w:tcW w:w="5811" w:type="dxa"/>
          </w:tcPr>
          <w:p w14:paraId="20F6D2FC" w14:textId="77777777" w:rsidR="00A824B3" w:rsidRPr="00C66F23" w:rsidRDefault="00A824B3" w:rsidP="00B634E2">
            <w:pPr>
              <w:spacing w:line="360" w:lineRule="auto"/>
              <w:rPr>
                <w:rFonts w:cs="Arial"/>
                <w:bCs/>
                <w:sz w:val="22"/>
              </w:rPr>
            </w:pPr>
            <w:r w:rsidRPr="00C66F23">
              <w:rPr>
                <w:rFonts w:cs="Arial"/>
                <w:bCs/>
                <w:sz w:val="22"/>
              </w:rPr>
              <w:t xml:space="preserve">Wartość wskaźnika liczona jest poprzez zsumowanie liczby </w:t>
            </w:r>
            <w:proofErr w:type="spellStart"/>
            <w:r w:rsidRPr="00C66F23">
              <w:rPr>
                <w:rFonts w:cs="Arial"/>
                <w:bCs/>
                <w:sz w:val="22"/>
              </w:rPr>
              <w:t>etatomiesięcy</w:t>
            </w:r>
            <w:proofErr w:type="spellEnd"/>
          </w:p>
          <w:p w14:paraId="3808D16F" w14:textId="77777777" w:rsidR="00A824B3" w:rsidRPr="00C66F23" w:rsidRDefault="00A824B3" w:rsidP="00B634E2">
            <w:pPr>
              <w:spacing w:line="360" w:lineRule="auto"/>
              <w:rPr>
                <w:rFonts w:cs="Arial"/>
                <w:bCs/>
                <w:sz w:val="22"/>
              </w:rPr>
            </w:pPr>
            <w:r w:rsidRPr="00C66F23">
              <w:rPr>
                <w:rFonts w:cs="Arial"/>
                <w:bCs/>
                <w:sz w:val="22"/>
              </w:rPr>
              <w:t>dla poszczególnych stanowisk finansowanych ze środków pomocy technicznej.</w:t>
            </w:r>
          </w:p>
          <w:p w14:paraId="45575887" w14:textId="77777777" w:rsidR="00A824B3" w:rsidRPr="00C66F23" w:rsidRDefault="00A824B3" w:rsidP="00B634E2">
            <w:pPr>
              <w:spacing w:line="360" w:lineRule="auto"/>
              <w:rPr>
                <w:rFonts w:cs="Arial"/>
                <w:bCs/>
                <w:sz w:val="22"/>
              </w:rPr>
            </w:pPr>
            <w:r w:rsidRPr="00C66F23">
              <w:rPr>
                <w:rFonts w:cs="Arial"/>
                <w:bCs/>
                <w:sz w:val="22"/>
              </w:rPr>
              <w:t>W = LE1 + LE2 + ….+ LEN</w:t>
            </w:r>
          </w:p>
          <w:p w14:paraId="42EC1EA4" w14:textId="77777777" w:rsidR="00A824B3" w:rsidRPr="00C66F23" w:rsidRDefault="00A824B3" w:rsidP="00B634E2">
            <w:pPr>
              <w:spacing w:line="360" w:lineRule="auto"/>
              <w:rPr>
                <w:rFonts w:cs="Arial"/>
                <w:bCs/>
                <w:sz w:val="22"/>
              </w:rPr>
            </w:pPr>
            <w:r w:rsidRPr="00C66F23">
              <w:rPr>
                <w:rFonts w:cs="Arial"/>
                <w:bCs/>
                <w:sz w:val="22"/>
              </w:rPr>
              <w:t>W – wartość wskaźnika</w:t>
            </w:r>
          </w:p>
          <w:p w14:paraId="77604D1F" w14:textId="77777777" w:rsidR="00A824B3" w:rsidRPr="00C66F23" w:rsidRDefault="00A824B3" w:rsidP="00B634E2">
            <w:pPr>
              <w:spacing w:line="360" w:lineRule="auto"/>
              <w:rPr>
                <w:rFonts w:cs="Arial"/>
                <w:bCs/>
                <w:sz w:val="22"/>
              </w:rPr>
            </w:pPr>
            <w:r w:rsidRPr="00C66F23">
              <w:rPr>
                <w:rFonts w:cs="Arial"/>
                <w:bCs/>
                <w:sz w:val="22"/>
              </w:rPr>
              <w:t xml:space="preserve">LE – liczba </w:t>
            </w:r>
            <w:proofErr w:type="spellStart"/>
            <w:r w:rsidRPr="00C66F23">
              <w:rPr>
                <w:rFonts w:cs="Arial"/>
                <w:bCs/>
                <w:sz w:val="22"/>
              </w:rPr>
              <w:t>etatomiesięcy</w:t>
            </w:r>
            <w:proofErr w:type="spellEnd"/>
            <w:r w:rsidRPr="00C66F23">
              <w:rPr>
                <w:rFonts w:cs="Arial"/>
                <w:bCs/>
                <w:sz w:val="22"/>
              </w:rPr>
              <w:t xml:space="preserve"> dla stanowiska pracy</w:t>
            </w:r>
          </w:p>
          <w:p w14:paraId="447B8C68" w14:textId="77777777" w:rsidR="00A824B3" w:rsidRPr="00C66F23" w:rsidRDefault="00A824B3" w:rsidP="00B634E2">
            <w:pPr>
              <w:spacing w:line="360" w:lineRule="auto"/>
              <w:rPr>
                <w:rFonts w:cs="Arial"/>
                <w:bCs/>
                <w:sz w:val="22"/>
              </w:rPr>
            </w:pPr>
            <w:r w:rsidRPr="00C66F23">
              <w:rPr>
                <w:rFonts w:cs="Arial"/>
                <w:bCs/>
                <w:sz w:val="22"/>
              </w:rPr>
              <w:t xml:space="preserve">Liczba </w:t>
            </w:r>
            <w:proofErr w:type="spellStart"/>
            <w:r w:rsidRPr="00C66F23">
              <w:rPr>
                <w:rFonts w:cs="Arial"/>
                <w:bCs/>
                <w:sz w:val="22"/>
              </w:rPr>
              <w:t>etatomiesięcy</w:t>
            </w:r>
            <w:proofErr w:type="spellEnd"/>
            <w:r w:rsidRPr="00C66F23">
              <w:rPr>
                <w:rFonts w:cs="Arial"/>
                <w:bCs/>
                <w:sz w:val="22"/>
              </w:rPr>
              <w:t xml:space="preserve"> liczona jest poprzez przemnożenie wymiaru etatu przez poziom kwalifikowalności oraz liczbę przepracowanych miesięcy dla stanowiska finansowanego ze środków pomocy technicznej.</w:t>
            </w:r>
          </w:p>
          <w:p w14:paraId="52C64C38" w14:textId="77777777" w:rsidR="00A824B3" w:rsidRPr="00C66F23" w:rsidRDefault="00A824B3" w:rsidP="00B634E2">
            <w:pPr>
              <w:spacing w:line="360" w:lineRule="auto"/>
              <w:rPr>
                <w:rFonts w:cs="Arial"/>
                <w:bCs/>
                <w:sz w:val="22"/>
              </w:rPr>
            </w:pPr>
            <w:r w:rsidRPr="00C66F23">
              <w:rPr>
                <w:rFonts w:cs="Arial"/>
                <w:bCs/>
                <w:sz w:val="22"/>
              </w:rPr>
              <w:t>LE = A * B * C</w:t>
            </w:r>
          </w:p>
          <w:p w14:paraId="1C66E367" w14:textId="77777777" w:rsidR="00A824B3" w:rsidRPr="00C66F23" w:rsidRDefault="00A824B3" w:rsidP="00B634E2">
            <w:pPr>
              <w:spacing w:line="360" w:lineRule="auto"/>
              <w:rPr>
                <w:rFonts w:cs="Arial"/>
                <w:bCs/>
                <w:sz w:val="22"/>
              </w:rPr>
            </w:pPr>
            <w:r w:rsidRPr="00C66F23">
              <w:rPr>
                <w:rFonts w:cs="Arial"/>
                <w:bCs/>
                <w:sz w:val="22"/>
              </w:rPr>
              <w:t xml:space="preserve">LE – liczba </w:t>
            </w:r>
            <w:proofErr w:type="spellStart"/>
            <w:r w:rsidRPr="00C66F23">
              <w:rPr>
                <w:rFonts w:cs="Arial"/>
                <w:bCs/>
                <w:sz w:val="22"/>
              </w:rPr>
              <w:t>etatomiesięcy</w:t>
            </w:r>
            <w:proofErr w:type="spellEnd"/>
          </w:p>
          <w:p w14:paraId="322E9ED7" w14:textId="77777777" w:rsidR="00A824B3" w:rsidRPr="00C66F23" w:rsidRDefault="00A824B3" w:rsidP="00B634E2">
            <w:pPr>
              <w:spacing w:line="360" w:lineRule="auto"/>
              <w:rPr>
                <w:rFonts w:cs="Arial"/>
                <w:bCs/>
                <w:sz w:val="22"/>
              </w:rPr>
            </w:pPr>
            <w:r w:rsidRPr="00C66F23">
              <w:rPr>
                <w:rFonts w:cs="Arial"/>
                <w:bCs/>
                <w:sz w:val="22"/>
              </w:rPr>
              <w:t>A – wymiar etatu (np. 1; 0,5; 0,25)</w:t>
            </w:r>
          </w:p>
          <w:p w14:paraId="41906F54" w14:textId="77777777" w:rsidR="00A824B3" w:rsidRPr="00C66F23" w:rsidRDefault="00A824B3" w:rsidP="00B634E2">
            <w:pPr>
              <w:spacing w:line="360" w:lineRule="auto"/>
              <w:rPr>
                <w:rFonts w:cs="Arial"/>
                <w:bCs/>
                <w:sz w:val="22"/>
              </w:rPr>
            </w:pPr>
            <w:r w:rsidRPr="00C66F23">
              <w:rPr>
                <w:rFonts w:cs="Arial"/>
                <w:bCs/>
                <w:sz w:val="22"/>
              </w:rPr>
              <w:t>B – poziom kwalifikowalności stanowiska (np. 1; 0,75; 0,50)</w:t>
            </w:r>
          </w:p>
          <w:p w14:paraId="5D0BBF75" w14:textId="77777777" w:rsidR="00A824B3" w:rsidRPr="00C66F23" w:rsidRDefault="00A824B3" w:rsidP="00B634E2">
            <w:pPr>
              <w:spacing w:line="360" w:lineRule="auto"/>
              <w:rPr>
                <w:rFonts w:cs="Arial"/>
                <w:bCs/>
                <w:sz w:val="22"/>
              </w:rPr>
            </w:pPr>
            <w:r w:rsidRPr="00C66F23">
              <w:rPr>
                <w:rFonts w:cs="Arial"/>
                <w:bCs/>
                <w:sz w:val="22"/>
              </w:rPr>
              <w:t>C – liczba przepracowanych miesięcy</w:t>
            </w:r>
          </w:p>
          <w:p w14:paraId="26BCD275" w14:textId="77777777" w:rsidR="00A824B3" w:rsidRPr="00C66F23" w:rsidRDefault="00A824B3" w:rsidP="00B634E2">
            <w:pPr>
              <w:spacing w:line="360" w:lineRule="auto"/>
              <w:rPr>
                <w:rFonts w:cs="Arial"/>
                <w:bCs/>
                <w:sz w:val="22"/>
              </w:rPr>
            </w:pPr>
            <w:r w:rsidRPr="00C66F23">
              <w:rPr>
                <w:rFonts w:cs="Arial"/>
                <w:bCs/>
                <w:sz w:val="22"/>
              </w:rPr>
              <w:t>Zliczane są wyłącznie etaty w ramach umowy o pracę.</w:t>
            </w:r>
          </w:p>
          <w:p w14:paraId="34E29C02" w14:textId="77777777" w:rsidR="00A824B3" w:rsidRPr="00C66F23" w:rsidRDefault="00A824B3" w:rsidP="00B634E2">
            <w:pPr>
              <w:spacing w:line="360" w:lineRule="auto"/>
              <w:rPr>
                <w:rFonts w:cs="Arial"/>
                <w:bCs/>
                <w:sz w:val="22"/>
              </w:rPr>
            </w:pPr>
            <w:r w:rsidRPr="00C66F23">
              <w:rPr>
                <w:rFonts w:cs="Arial"/>
                <w:bCs/>
                <w:sz w:val="22"/>
              </w:rPr>
              <w:t>W przypadku zmiany poziomu kwalifikowalności lub wymiaru etatu w ciągu miesiąca, dla całego miesiąca przyjmowany jest poziom obowiązujący na ostatni dzień tego miesiąca.</w:t>
            </w:r>
          </w:p>
          <w:p w14:paraId="7487D9D5" w14:textId="77777777" w:rsidR="00A824B3" w:rsidRPr="00C66F23" w:rsidRDefault="00A824B3" w:rsidP="00B634E2">
            <w:pPr>
              <w:spacing w:line="360" w:lineRule="auto"/>
              <w:rPr>
                <w:rFonts w:cs="Arial"/>
                <w:bCs/>
                <w:sz w:val="22"/>
              </w:rPr>
            </w:pPr>
            <w:r w:rsidRPr="00C66F23">
              <w:rPr>
                <w:rFonts w:cs="Arial"/>
                <w:bCs/>
                <w:sz w:val="22"/>
              </w:rPr>
              <w:t>Nie ma możliwości dzielenia miesiąca tj. nawet jak pracownik przepracował tylko kilka dni w danym miesiącu jest on w całości wliczany do wartości wskaźnika. W tym przypadku wynagrodzenie jest współfinansowane w sposób proporcjonalny.</w:t>
            </w:r>
          </w:p>
          <w:p w14:paraId="1ABCA9CE" w14:textId="77777777" w:rsidR="00A824B3" w:rsidRPr="00C66F23" w:rsidRDefault="00A824B3" w:rsidP="00B634E2">
            <w:pPr>
              <w:spacing w:line="360" w:lineRule="auto"/>
              <w:rPr>
                <w:rFonts w:cs="Arial"/>
                <w:bCs/>
                <w:sz w:val="22"/>
              </w:rPr>
            </w:pPr>
            <w:r w:rsidRPr="00C66F23">
              <w:rPr>
                <w:rFonts w:cs="Arial"/>
                <w:bCs/>
                <w:sz w:val="22"/>
              </w:rPr>
              <w:t>Do wskaźnika nie wliczane są okresy, w których nie są ponoszone koszty w związku z płacą zasadniczą. W przypadku, gdy w danej instytucji obowiązują karty czasu pracy liczbę</w:t>
            </w:r>
          </w:p>
          <w:p w14:paraId="5A8E4B2D" w14:textId="52CB0D31" w:rsidR="00392D85" w:rsidRPr="00C66F23" w:rsidRDefault="00A824B3" w:rsidP="00B634E2">
            <w:pPr>
              <w:spacing w:line="360" w:lineRule="auto"/>
              <w:rPr>
                <w:rFonts w:cs="Arial"/>
                <w:bCs/>
                <w:sz w:val="22"/>
              </w:rPr>
            </w:pPr>
            <w:proofErr w:type="spellStart"/>
            <w:r w:rsidRPr="00C66F23">
              <w:rPr>
                <w:rFonts w:cs="Arial"/>
                <w:bCs/>
                <w:sz w:val="22"/>
              </w:rPr>
              <w:t>etatomiesięcy</w:t>
            </w:r>
            <w:proofErr w:type="spellEnd"/>
            <w:r w:rsidRPr="00C66F23">
              <w:rPr>
                <w:rFonts w:cs="Arial"/>
                <w:bCs/>
                <w:sz w:val="22"/>
              </w:rPr>
              <w:t xml:space="preserve"> finansowanych ze środków pomocy technicznej wylicza się na podstawie </w:t>
            </w:r>
            <w:r w:rsidRPr="00C66F23">
              <w:rPr>
                <w:rFonts w:cs="Arial"/>
                <w:bCs/>
                <w:sz w:val="22"/>
              </w:rPr>
              <w:lastRenderedPageBreak/>
              <w:t>średniomiesięcznego poziomu kwalifikowalności stanowiska.</w:t>
            </w:r>
          </w:p>
        </w:tc>
        <w:tc>
          <w:tcPr>
            <w:tcW w:w="1165" w:type="dxa"/>
          </w:tcPr>
          <w:p w14:paraId="425C8F14" w14:textId="77777777" w:rsidR="00A824B3" w:rsidRPr="00C66F23" w:rsidRDefault="00A824B3" w:rsidP="00B634E2">
            <w:pPr>
              <w:spacing w:line="360" w:lineRule="auto"/>
              <w:rPr>
                <w:rFonts w:cs="Arial"/>
                <w:bCs/>
                <w:sz w:val="22"/>
              </w:rPr>
            </w:pPr>
          </w:p>
          <w:p w14:paraId="6859BB3B" w14:textId="77777777" w:rsidR="00A824B3" w:rsidRPr="00C66F23" w:rsidRDefault="00A824B3" w:rsidP="00B634E2">
            <w:pPr>
              <w:spacing w:line="360" w:lineRule="auto"/>
              <w:rPr>
                <w:rFonts w:cs="Arial"/>
                <w:bCs/>
                <w:sz w:val="22"/>
              </w:rPr>
            </w:pPr>
          </w:p>
          <w:p w14:paraId="62A96B13" w14:textId="77777777" w:rsidR="00A824B3" w:rsidRPr="00C66F23" w:rsidRDefault="00A824B3" w:rsidP="00B634E2">
            <w:pPr>
              <w:spacing w:line="360" w:lineRule="auto"/>
              <w:rPr>
                <w:rFonts w:cs="Arial"/>
                <w:bCs/>
                <w:sz w:val="22"/>
              </w:rPr>
            </w:pPr>
          </w:p>
          <w:p w14:paraId="2715D7A0" w14:textId="77777777" w:rsidR="00A824B3" w:rsidRPr="00C66F23" w:rsidRDefault="00A824B3" w:rsidP="00B634E2">
            <w:pPr>
              <w:spacing w:line="360" w:lineRule="auto"/>
              <w:rPr>
                <w:rFonts w:cs="Arial"/>
                <w:bCs/>
                <w:sz w:val="22"/>
              </w:rPr>
            </w:pPr>
          </w:p>
          <w:p w14:paraId="24053699" w14:textId="77777777" w:rsidR="00A824B3" w:rsidRPr="00C66F23" w:rsidRDefault="00A824B3" w:rsidP="00B634E2">
            <w:pPr>
              <w:spacing w:line="360" w:lineRule="auto"/>
              <w:rPr>
                <w:rFonts w:cs="Arial"/>
                <w:bCs/>
                <w:sz w:val="22"/>
              </w:rPr>
            </w:pPr>
          </w:p>
          <w:p w14:paraId="30D83AB4" w14:textId="77777777" w:rsidR="00A824B3" w:rsidRPr="00C66F23" w:rsidRDefault="00A824B3" w:rsidP="00B634E2">
            <w:pPr>
              <w:spacing w:line="360" w:lineRule="auto"/>
              <w:rPr>
                <w:rFonts w:cs="Arial"/>
                <w:bCs/>
                <w:sz w:val="22"/>
              </w:rPr>
            </w:pPr>
          </w:p>
          <w:p w14:paraId="1FE6E0C8" w14:textId="770C6053" w:rsidR="00392D85" w:rsidRPr="00C66F23" w:rsidRDefault="00A824B3" w:rsidP="00B634E2">
            <w:pPr>
              <w:spacing w:line="360" w:lineRule="auto"/>
              <w:rPr>
                <w:rFonts w:cs="Arial"/>
                <w:bCs/>
                <w:sz w:val="22"/>
              </w:rPr>
            </w:pPr>
            <w:r w:rsidRPr="00C66F23">
              <w:rPr>
                <w:rFonts w:cs="Arial"/>
                <w:bCs/>
                <w:sz w:val="22"/>
              </w:rPr>
              <w:t>sztuka</w:t>
            </w:r>
          </w:p>
        </w:tc>
      </w:tr>
      <w:tr w:rsidR="00392D85" w:rsidRPr="00C66F23" w14:paraId="6017D9CC" w14:textId="77777777" w:rsidTr="00A824B3">
        <w:tc>
          <w:tcPr>
            <w:tcW w:w="675" w:type="dxa"/>
          </w:tcPr>
          <w:p w14:paraId="6EF6E390" w14:textId="0D9CB8B2" w:rsidR="00392D85" w:rsidRPr="00C66F23" w:rsidRDefault="00A824B3" w:rsidP="00B634E2">
            <w:pPr>
              <w:spacing w:line="360" w:lineRule="auto"/>
              <w:rPr>
                <w:rFonts w:cs="Arial"/>
                <w:bCs/>
                <w:sz w:val="22"/>
              </w:rPr>
            </w:pPr>
            <w:r w:rsidRPr="00C66F23">
              <w:rPr>
                <w:rFonts w:cs="Arial"/>
                <w:bCs/>
                <w:sz w:val="22"/>
              </w:rPr>
              <w:t>2.</w:t>
            </w:r>
          </w:p>
        </w:tc>
        <w:tc>
          <w:tcPr>
            <w:tcW w:w="2127" w:type="dxa"/>
          </w:tcPr>
          <w:p w14:paraId="10850992" w14:textId="25EEAE0D" w:rsidR="00392D85" w:rsidRPr="00C66F23" w:rsidRDefault="00A824B3" w:rsidP="00B634E2">
            <w:pPr>
              <w:spacing w:line="360" w:lineRule="auto"/>
              <w:rPr>
                <w:rFonts w:cs="Arial"/>
                <w:bCs/>
                <w:sz w:val="22"/>
              </w:rPr>
            </w:pPr>
            <w:r w:rsidRPr="00C66F23">
              <w:rPr>
                <w:rFonts w:cs="Arial"/>
                <w:bCs/>
                <w:sz w:val="22"/>
              </w:rPr>
              <w:t>Liczba uczestników form szkoleniowych dla instytucji</w:t>
            </w:r>
          </w:p>
        </w:tc>
        <w:tc>
          <w:tcPr>
            <w:tcW w:w="5811" w:type="dxa"/>
          </w:tcPr>
          <w:p w14:paraId="38FDB484" w14:textId="77777777" w:rsidR="00A824B3" w:rsidRPr="00C66F23" w:rsidRDefault="00A824B3" w:rsidP="00B634E2">
            <w:pPr>
              <w:spacing w:line="360" w:lineRule="auto"/>
              <w:rPr>
                <w:rFonts w:cs="Arial"/>
                <w:bCs/>
                <w:sz w:val="22"/>
              </w:rPr>
            </w:pPr>
            <w:r w:rsidRPr="00C66F23">
              <w:rPr>
                <w:rFonts w:cs="Arial"/>
                <w:bCs/>
                <w:sz w:val="22"/>
              </w:rPr>
              <w:t>Obliczając wartość wskaźnika należy zsumować wszystkich uczestników wszystkich form szkoleniowych przeprowadzonych dla pracowników instytucji (tj. szkoleń, warsztatów, seminariów, kursów, studiów itp.) finansowanych ze środków pomocy technicznej. Dana osoba powinna zostać policzona tyle razy w ilu szkoleniach wzięła udział.</w:t>
            </w:r>
          </w:p>
          <w:p w14:paraId="7802EE30" w14:textId="77777777" w:rsidR="00A824B3" w:rsidRPr="00C66F23" w:rsidRDefault="00A824B3" w:rsidP="00B634E2">
            <w:pPr>
              <w:spacing w:line="360" w:lineRule="auto"/>
              <w:rPr>
                <w:rFonts w:cs="Arial"/>
                <w:bCs/>
                <w:sz w:val="22"/>
              </w:rPr>
            </w:pPr>
            <w:r w:rsidRPr="00C66F23">
              <w:rPr>
                <w:rFonts w:cs="Arial"/>
                <w:bCs/>
                <w:sz w:val="22"/>
              </w:rPr>
              <w:t>Wskaźnik naliczany jest w momencie pierwszej płatności za szkolenie niezależnie od tego czy uczestnik szkolenia otrzymał stosowny certyfikat/dyplom, a w przypadku jego braku zaświadczenie od instytucji przeprowadzającej szkolenie (podpisana lista obecności jest równoważna z zaświadczeniem od instytucji przeprowadzającej szkolenie). Należy</w:t>
            </w:r>
          </w:p>
          <w:p w14:paraId="23789728" w14:textId="77777777" w:rsidR="00A824B3" w:rsidRPr="00C66F23" w:rsidRDefault="00A824B3" w:rsidP="00B634E2">
            <w:pPr>
              <w:spacing w:line="360" w:lineRule="auto"/>
              <w:rPr>
                <w:rFonts w:cs="Arial"/>
                <w:bCs/>
                <w:sz w:val="22"/>
              </w:rPr>
            </w:pPr>
            <w:r w:rsidRPr="00C66F23">
              <w:rPr>
                <w:rFonts w:cs="Arial"/>
                <w:bCs/>
                <w:sz w:val="22"/>
              </w:rPr>
              <w:t>jednak zobowiązać uczestnika do uzupełnienia certyfikatu/dyplomu/zaświadczenia niezwłocznie po ich wydaniu.</w:t>
            </w:r>
          </w:p>
          <w:p w14:paraId="644BACC6" w14:textId="77777777" w:rsidR="00A824B3" w:rsidRPr="00C66F23" w:rsidRDefault="00A824B3" w:rsidP="00B634E2">
            <w:pPr>
              <w:spacing w:line="360" w:lineRule="auto"/>
              <w:rPr>
                <w:rFonts w:cs="Arial"/>
                <w:bCs/>
                <w:sz w:val="22"/>
              </w:rPr>
            </w:pPr>
            <w:r w:rsidRPr="00C66F23">
              <w:rPr>
                <w:rFonts w:cs="Arial"/>
                <w:bCs/>
                <w:sz w:val="22"/>
              </w:rPr>
              <w:t>Certyfikat/dyplom/zaświadczenie (lub potwierdzona za zgodność z oryginałem kserokopia) są przechowywane u beneficjenta i udostępniane kontrolerom projektu. Ich brak skutkuje nieprawidłowością w projekcie i obniżeniem wartości wskaźnika.</w:t>
            </w:r>
          </w:p>
          <w:p w14:paraId="46302090" w14:textId="77777777" w:rsidR="00A824B3" w:rsidRPr="00C66F23" w:rsidRDefault="00A824B3" w:rsidP="00B634E2">
            <w:pPr>
              <w:spacing w:line="360" w:lineRule="auto"/>
              <w:rPr>
                <w:rFonts w:cs="Arial"/>
                <w:bCs/>
                <w:sz w:val="22"/>
              </w:rPr>
            </w:pPr>
            <w:r w:rsidRPr="00C66F23">
              <w:rPr>
                <w:rFonts w:cs="Arial"/>
                <w:bCs/>
                <w:sz w:val="22"/>
              </w:rPr>
              <w:t>Do wartości wskaźnika nie są liczeni uczestnicy szkoleń zatrudnieni na podstawie umów cywilno-prawnych.</w:t>
            </w:r>
          </w:p>
          <w:p w14:paraId="5ACCDC10" w14:textId="3F5E1F16" w:rsidR="00392D85" w:rsidRPr="00C66F23" w:rsidRDefault="00A824B3" w:rsidP="00B634E2">
            <w:pPr>
              <w:spacing w:line="360" w:lineRule="auto"/>
              <w:rPr>
                <w:rFonts w:cs="Arial"/>
                <w:bCs/>
                <w:sz w:val="22"/>
              </w:rPr>
            </w:pPr>
            <w:r w:rsidRPr="00C66F23">
              <w:rPr>
                <w:rFonts w:cs="Arial"/>
                <w:bCs/>
                <w:sz w:val="22"/>
              </w:rPr>
              <w:t>Poprzez „instytucje” rozumiane są instytucje funkcjonujące w systemie wdrażania polityki spójności w latach 2014-2020 w Polsce tj. np. Instytucje Zarządzające, Instytucje Pośredniczące, Instytucja Audytowa.</w:t>
            </w:r>
          </w:p>
        </w:tc>
        <w:tc>
          <w:tcPr>
            <w:tcW w:w="1165" w:type="dxa"/>
          </w:tcPr>
          <w:p w14:paraId="00232A3B" w14:textId="7595C82F" w:rsidR="00392D85" w:rsidRPr="00C66F23" w:rsidRDefault="00A824B3" w:rsidP="00B634E2">
            <w:pPr>
              <w:spacing w:line="360" w:lineRule="auto"/>
              <w:rPr>
                <w:rFonts w:cs="Arial"/>
                <w:bCs/>
                <w:sz w:val="22"/>
              </w:rPr>
            </w:pPr>
            <w:r w:rsidRPr="00C66F23">
              <w:rPr>
                <w:rFonts w:cs="Arial"/>
                <w:bCs/>
                <w:sz w:val="22"/>
              </w:rPr>
              <w:t>osoba</w:t>
            </w:r>
          </w:p>
        </w:tc>
      </w:tr>
      <w:tr w:rsidR="00392D85" w:rsidRPr="00C66F23" w14:paraId="5B2EDF8D" w14:textId="77777777" w:rsidTr="00A824B3">
        <w:tc>
          <w:tcPr>
            <w:tcW w:w="675" w:type="dxa"/>
          </w:tcPr>
          <w:p w14:paraId="0E0B4214" w14:textId="0E0AC089" w:rsidR="00392D85" w:rsidRPr="00C66F23" w:rsidRDefault="00A824B3" w:rsidP="00B634E2">
            <w:pPr>
              <w:spacing w:line="360" w:lineRule="auto"/>
              <w:rPr>
                <w:rFonts w:cs="Arial"/>
                <w:bCs/>
                <w:sz w:val="22"/>
              </w:rPr>
            </w:pPr>
            <w:r w:rsidRPr="00C66F23">
              <w:rPr>
                <w:rFonts w:cs="Arial"/>
                <w:bCs/>
                <w:sz w:val="22"/>
              </w:rPr>
              <w:t>3.</w:t>
            </w:r>
          </w:p>
        </w:tc>
        <w:tc>
          <w:tcPr>
            <w:tcW w:w="2127" w:type="dxa"/>
          </w:tcPr>
          <w:p w14:paraId="60F2A865" w14:textId="195E72BA" w:rsidR="00392D85" w:rsidRPr="00C66F23" w:rsidRDefault="00A824B3" w:rsidP="00B634E2">
            <w:pPr>
              <w:spacing w:line="360" w:lineRule="auto"/>
              <w:rPr>
                <w:rFonts w:cs="Arial"/>
                <w:bCs/>
                <w:sz w:val="22"/>
              </w:rPr>
            </w:pPr>
            <w:r w:rsidRPr="00C66F23">
              <w:rPr>
                <w:rFonts w:cs="Arial"/>
                <w:sz w:val="22"/>
              </w:rPr>
              <w:t>Liczba przeprowadzonych ewaluacji</w:t>
            </w:r>
          </w:p>
        </w:tc>
        <w:tc>
          <w:tcPr>
            <w:tcW w:w="5811" w:type="dxa"/>
          </w:tcPr>
          <w:p w14:paraId="58330E32" w14:textId="743FD7A5" w:rsidR="00392D85" w:rsidRPr="00C66F23" w:rsidRDefault="00556A7E" w:rsidP="00B634E2">
            <w:pPr>
              <w:spacing w:line="360" w:lineRule="auto"/>
              <w:rPr>
                <w:rFonts w:cs="Arial"/>
                <w:bCs/>
                <w:sz w:val="22"/>
              </w:rPr>
            </w:pPr>
            <w:r w:rsidRPr="00C66F23">
              <w:rPr>
                <w:rFonts w:cs="Arial"/>
                <w:bCs/>
                <w:sz w:val="22"/>
              </w:rPr>
              <w:t xml:space="preserve">Do wartości wskaźnika wliczane są wszystkie badania ewaluacyjne finansowane ze środków pomocy technicznej polegające na analizie i ocenie skuteczności, efektywności, użyteczności, </w:t>
            </w:r>
            <w:r w:rsidRPr="00C66F23">
              <w:rPr>
                <w:rFonts w:cs="Arial"/>
                <w:bCs/>
                <w:sz w:val="22"/>
              </w:rPr>
              <w:lastRenderedPageBreak/>
              <w:t xml:space="preserve">trafności lub trwałości interwencji publicznych realizowanych w ramach polityki spójności, służące poprawie jakości ich programowania i wdrażania. Ewaluacje realizowane są na podstawie planów ewaluacji, przez </w:t>
            </w:r>
            <w:proofErr w:type="spellStart"/>
            <w:r w:rsidRPr="00C66F23">
              <w:rPr>
                <w:rFonts w:cs="Arial"/>
                <w:bCs/>
                <w:sz w:val="22"/>
              </w:rPr>
              <w:t>ewaluatorów</w:t>
            </w:r>
            <w:proofErr w:type="spellEnd"/>
            <w:r w:rsidRPr="00C66F23">
              <w:rPr>
                <w:rFonts w:cs="Arial"/>
                <w:bCs/>
                <w:sz w:val="22"/>
              </w:rPr>
              <w:t xml:space="preserve"> zewnętrznych lub wewnętrznych funkcjonalnie niezależnych od podmiotów odpowiedzialnych za realizację programów operacyjnych.</w:t>
            </w:r>
          </w:p>
        </w:tc>
        <w:tc>
          <w:tcPr>
            <w:tcW w:w="1165" w:type="dxa"/>
          </w:tcPr>
          <w:p w14:paraId="39B47665" w14:textId="1BAF5898" w:rsidR="00392D85" w:rsidRPr="00C66F23" w:rsidRDefault="00556A7E" w:rsidP="00B634E2">
            <w:pPr>
              <w:spacing w:line="360" w:lineRule="auto"/>
              <w:rPr>
                <w:rFonts w:cs="Arial"/>
                <w:bCs/>
                <w:sz w:val="22"/>
              </w:rPr>
            </w:pPr>
            <w:r w:rsidRPr="00C66F23">
              <w:rPr>
                <w:rFonts w:cs="Arial"/>
                <w:bCs/>
                <w:sz w:val="22"/>
              </w:rPr>
              <w:lastRenderedPageBreak/>
              <w:t>sztuka</w:t>
            </w:r>
          </w:p>
        </w:tc>
      </w:tr>
      <w:tr w:rsidR="00392D85" w:rsidRPr="00C66F23" w14:paraId="336BA7A5" w14:textId="77777777" w:rsidTr="00A824B3">
        <w:tc>
          <w:tcPr>
            <w:tcW w:w="675" w:type="dxa"/>
          </w:tcPr>
          <w:p w14:paraId="3042FC6A" w14:textId="07727590" w:rsidR="00392D85" w:rsidRPr="00C66F23" w:rsidRDefault="00556A7E" w:rsidP="00B634E2">
            <w:pPr>
              <w:spacing w:line="360" w:lineRule="auto"/>
              <w:rPr>
                <w:rFonts w:cs="Arial"/>
                <w:bCs/>
                <w:sz w:val="22"/>
              </w:rPr>
            </w:pPr>
            <w:r w:rsidRPr="00C66F23">
              <w:rPr>
                <w:rFonts w:cs="Arial"/>
                <w:bCs/>
                <w:sz w:val="22"/>
              </w:rPr>
              <w:t>4.</w:t>
            </w:r>
          </w:p>
        </w:tc>
        <w:tc>
          <w:tcPr>
            <w:tcW w:w="2127" w:type="dxa"/>
          </w:tcPr>
          <w:p w14:paraId="14DA4055" w14:textId="5596227D" w:rsidR="00392D85" w:rsidRPr="00C66F23" w:rsidRDefault="00556A7E" w:rsidP="00B634E2">
            <w:pPr>
              <w:spacing w:line="360" w:lineRule="auto"/>
              <w:rPr>
                <w:rFonts w:cs="Arial"/>
                <w:bCs/>
                <w:sz w:val="22"/>
              </w:rPr>
            </w:pPr>
            <w:r w:rsidRPr="00C66F23">
              <w:rPr>
                <w:rFonts w:cs="Arial"/>
                <w:bCs/>
                <w:sz w:val="22"/>
              </w:rPr>
              <w:t>Liczba opracowanych ekspertyz</w:t>
            </w:r>
          </w:p>
        </w:tc>
        <w:tc>
          <w:tcPr>
            <w:tcW w:w="5811" w:type="dxa"/>
          </w:tcPr>
          <w:p w14:paraId="13E2BDD8" w14:textId="37E19422" w:rsidR="00392D85" w:rsidRPr="00C66F23" w:rsidRDefault="00556A7E" w:rsidP="00B634E2">
            <w:pPr>
              <w:spacing w:line="360" w:lineRule="auto"/>
              <w:rPr>
                <w:rFonts w:cs="Arial"/>
                <w:bCs/>
                <w:sz w:val="22"/>
              </w:rPr>
            </w:pPr>
            <w:r w:rsidRPr="00C66F23">
              <w:rPr>
                <w:rFonts w:cs="Arial"/>
                <w:bCs/>
                <w:sz w:val="22"/>
              </w:rPr>
              <w:t>Obliczając wartość wskaźnika należy zsumować wszystkie ekspertyzy (tj. sporządzone opinie, analizy, koncepcje, studia itp.), które zostały zakończone wydaniem stosownego dokumentu i zostały sporządzone na potrzeby instytucji lub partnerów będących członkami sieci tematycznych, grup roboczych lub komitetów, a także innych ciał dialogu angażujących partnerów, których działalność finansowana jest ze środków pomocy technicznej. Do ekspertyz nie należy zaliczać ewaluacji, które są zliczane w ramach wskaźnika „Liczba przeprowadzonych ewaluacji”.</w:t>
            </w:r>
          </w:p>
        </w:tc>
        <w:tc>
          <w:tcPr>
            <w:tcW w:w="1165" w:type="dxa"/>
          </w:tcPr>
          <w:p w14:paraId="7C99CD73" w14:textId="4C742347" w:rsidR="00392D85" w:rsidRPr="00C66F23" w:rsidRDefault="00556A7E" w:rsidP="00B634E2">
            <w:pPr>
              <w:spacing w:line="360" w:lineRule="auto"/>
              <w:rPr>
                <w:rFonts w:cs="Arial"/>
                <w:bCs/>
                <w:sz w:val="22"/>
              </w:rPr>
            </w:pPr>
            <w:r w:rsidRPr="00C66F23">
              <w:rPr>
                <w:rFonts w:cs="Arial"/>
                <w:bCs/>
                <w:sz w:val="22"/>
              </w:rPr>
              <w:t>sztuka</w:t>
            </w:r>
          </w:p>
        </w:tc>
      </w:tr>
      <w:tr w:rsidR="00392D85" w:rsidRPr="00C66F23" w14:paraId="7E1E0744" w14:textId="77777777" w:rsidTr="00A824B3">
        <w:tc>
          <w:tcPr>
            <w:tcW w:w="675" w:type="dxa"/>
          </w:tcPr>
          <w:p w14:paraId="440B29F3" w14:textId="43D9C7CF" w:rsidR="00392D85" w:rsidRPr="00C66F23" w:rsidRDefault="00556A7E" w:rsidP="00B634E2">
            <w:pPr>
              <w:spacing w:line="360" w:lineRule="auto"/>
              <w:rPr>
                <w:rFonts w:cs="Arial"/>
                <w:bCs/>
                <w:sz w:val="22"/>
              </w:rPr>
            </w:pPr>
            <w:r w:rsidRPr="00C66F23">
              <w:rPr>
                <w:rFonts w:cs="Arial"/>
                <w:bCs/>
                <w:sz w:val="22"/>
              </w:rPr>
              <w:t>5.</w:t>
            </w:r>
          </w:p>
        </w:tc>
        <w:tc>
          <w:tcPr>
            <w:tcW w:w="2127" w:type="dxa"/>
          </w:tcPr>
          <w:p w14:paraId="7B553447" w14:textId="244CECC4" w:rsidR="00392D85" w:rsidRPr="00C66F23" w:rsidRDefault="00556A7E" w:rsidP="00B634E2">
            <w:pPr>
              <w:spacing w:line="360" w:lineRule="auto"/>
              <w:rPr>
                <w:rFonts w:cs="Arial"/>
                <w:bCs/>
                <w:sz w:val="22"/>
              </w:rPr>
            </w:pPr>
            <w:r w:rsidRPr="00C66F23">
              <w:rPr>
                <w:rFonts w:cs="Arial"/>
                <w:bCs/>
                <w:sz w:val="22"/>
              </w:rPr>
              <w:t>Liczba zakupionych urządzeń oraz elementów wyposażenia stanowiska pracy</w:t>
            </w:r>
          </w:p>
        </w:tc>
        <w:tc>
          <w:tcPr>
            <w:tcW w:w="5811" w:type="dxa"/>
          </w:tcPr>
          <w:p w14:paraId="0EC3824E" w14:textId="6D92AAD1" w:rsidR="00392D85" w:rsidRPr="00C66F23" w:rsidRDefault="00556A7E" w:rsidP="00B634E2">
            <w:pPr>
              <w:spacing w:line="360" w:lineRule="auto"/>
              <w:rPr>
                <w:rFonts w:cs="Arial"/>
                <w:bCs/>
                <w:sz w:val="22"/>
              </w:rPr>
            </w:pPr>
            <w:r w:rsidRPr="00C66F23">
              <w:rPr>
                <w:rFonts w:cs="Arial"/>
                <w:bCs/>
                <w:sz w:val="22"/>
              </w:rPr>
              <w:t>Do wartości wskaźnika wliczane są wszystkie urządzenia oraz elementy wyposażenia stanowisk pracy (tj. w szczególności urządzenia informatyczne, sprzęt biurowy, meble), które zostały opatrzone numerem i umieszczone w ewidencji oraz które zostały sfinansowane ze środków pomocy technicznej.</w:t>
            </w:r>
          </w:p>
        </w:tc>
        <w:tc>
          <w:tcPr>
            <w:tcW w:w="1165" w:type="dxa"/>
          </w:tcPr>
          <w:p w14:paraId="7D6A9D35" w14:textId="467712EA" w:rsidR="00392D85" w:rsidRPr="00C66F23" w:rsidRDefault="00556A7E" w:rsidP="00B634E2">
            <w:pPr>
              <w:spacing w:line="360" w:lineRule="auto"/>
              <w:rPr>
                <w:rFonts w:cs="Arial"/>
                <w:bCs/>
                <w:sz w:val="22"/>
              </w:rPr>
            </w:pPr>
            <w:r w:rsidRPr="00C66F23">
              <w:rPr>
                <w:rFonts w:cs="Arial"/>
                <w:bCs/>
                <w:sz w:val="22"/>
              </w:rPr>
              <w:t>sztuka</w:t>
            </w:r>
          </w:p>
        </w:tc>
      </w:tr>
      <w:tr w:rsidR="00392D85" w:rsidRPr="00C66F23" w14:paraId="006D6F44" w14:textId="77777777" w:rsidTr="00A824B3">
        <w:tc>
          <w:tcPr>
            <w:tcW w:w="675" w:type="dxa"/>
          </w:tcPr>
          <w:p w14:paraId="6109B636" w14:textId="20C85431" w:rsidR="00392D85" w:rsidRPr="00C66F23" w:rsidRDefault="00556A7E" w:rsidP="00B634E2">
            <w:pPr>
              <w:spacing w:line="360" w:lineRule="auto"/>
              <w:rPr>
                <w:rFonts w:cs="Arial"/>
                <w:bCs/>
                <w:sz w:val="22"/>
              </w:rPr>
            </w:pPr>
            <w:r w:rsidRPr="00C66F23">
              <w:rPr>
                <w:rFonts w:cs="Arial"/>
                <w:bCs/>
                <w:sz w:val="22"/>
              </w:rPr>
              <w:t>6.</w:t>
            </w:r>
          </w:p>
        </w:tc>
        <w:tc>
          <w:tcPr>
            <w:tcW w:w="2127" w:type="dxa"/>
          </w:tcPr>
          <w:p w14:paraId="4CA00EDB" w14:textId="18C0C9F8" w:rsidR="00392D85" w:rsidRPr="00C66F23" w:rsidRDefault="00556A7E" w:rsidP="00B634E2">
            <w:pPr>
              <w:spacing w:line="360" w:lineRule="auto"/>
              <w:rPr>
                <w:rFonts w:cs="Arial"/>
                <w:bCs/>
                <w:sz w:val="22"/>
              </w:rPr>
            </w:pPr>
            <w:r w:rsidRPr="00C66F23">
              <w:rPr>
                <w:rFonts w:cs="Arial"/>
                <w:bCs/>
                <w:sz w:val="22"/>
              </w:rPr>
              <w:t>Liczba utworzonych lub dostosowanych systemów informatycznych</w:t>
            </w:r>
          </w:p>
        </w:tc>
        <w:tc>
          <w:tcPr>
            <w:tcW w:w="5811" w:type="dxa"/>
          </w:tcPr>
          <w:p w14:paraId="3366CE36" w14:textId="29C8E733" w:rsidR="00392D85" w:rsidRPr="00C66F23" w:rsidRDefault="00556A7E" w:rsidP="00B634E2">
            <w:pPr>
              <w:spacing w:line="360" w:lineRule="auto"/>
              <w:rPr>
                <w:rFonts w:cs="Arial"/>
                <w:bCs/>
                <w:sz w:val="22"/>
              </w:rPr>
            </w:pPr>
            <w:r w:rsidRPr="00C66F23">
              <w:rPr>
                <w:rFonts w:cs="Arial"/>
                <w:bCs/>
                <w:sz w:val="22"/>
              </w:rPr>
              <w:t xml:space="preserve">Do wartości wskaźnika wliczane są wszystkie systemy informatyczne stworzone na potrzeby instytucji (za wyjątkiem krajowego Systemu Informatycznego SL 2014) lub takie, które już istniały, a zostały rozbudowane w celu ich dostosowania do wymogów wdrażania polityki spójności. Stworzenie takich systemów lub ich rozbudowa jest wpisana w procedury instytucji, a koszty zostały poniesione ze środków pomocy technicznej. Fakt wsparcia danego sytemu informatycznego ze środków pomocy technicznej </w:t>
            </w:r>
            <w:r w:rsidRPr="00C66F23">
              <w:rPr>
                <w:rFonts w:cs="Arial"/>
                <w:bCs/>
                <w:sz w:val="22"/>
              </w:rPr>
              <w:lastRenderedPageBreak/>
              <w:t>zostaje odnotowany tylko raz tzn. jeżeli system został utworzony ze środków pomocy technicznej to do wartości wskaźnika nie wliczane są jego późniejsze, ewentualne rozbudowy. W przypadku istniejących już systemów do wartości wskaźnika wliczana jest tylko pierwsza rozbudowa finansowana ze środków pomocy technicznej.</w:t>
            </w:r>
          </w:p>
        </w:tc>
        <w:tc>
          <w:tcPr>
            <w:tcW w:w="1165" w:type="dxa"/>
          </w:tcPr>
          <w:p w14:paraId="0A01C19E" w14:textId="2A692A02" w:rsidR="00392D85" w:rsidRPr="00C66F23" w:rsidRDefault="00556A7E" w:rsidP="00B634E2">
            <w:pPr>
              <w:spacing w:line="360" w:lineRule="auto"/>
              <w:rPr>
                <w:rFonts w:cs="Arial"/>
                <w:bCs/>
                <w:sz w:val="22"/>
              </w:rPr>
            </w:pPr>
            <w:r w:rsidRPr="00C66F23">
              <w:rPr>
                <w:rFonts w:cs="Arial"/>
                <w:bCs/>
                <w:sz w:val="22"/>
              </w:rPr>
              <w:lastRenderedPageBreak/>
              <w:t>sztuka</w:t>
            </w:r>
          </w:p>
        </w:tc>
      </w:tr>
      <w:tr w:rsidR="00392D85" w:rsidRPr="00C66F23" w14:paraId="0F4C7C7B" w14:textId="77777777" w:rsidTr="00A824B3">
        <w:tc>
          <w:tcPr>
            <w:tcW w:w="675" w:type="dxa"/>
          </w:tcPr>
          <w:p w14:paraId="01524545" w14:textId="435A9C27" w:rsidR="00392D85" w:rsidRPr="00C66F23" w:rsidRDefault="00E16C0B" w:rsidP="00B634E2">
            <w:pPr>
              <w:spacing w:line="360" w:lineRule="auto"/>
              <w:rPr>
                <w:rFonts w:cs="Arial"/>
                <w:bCs/>
                <w:sz w:val="22"/>
              </w:rPr>
            </w:pPr>
            <w:r w:rsidRPr="00C66F23">
              <w:rPr>
                <w:rFonts w:cs="Arial"/>
                <w:bCs/>
                <w:sz w:val="22"/>
              </w:rPr>
              <w:t>7.</w:t>
            </w:r>
          </w:p>
        </w:tc>
        <w:tc>
          <w:tcPr>
            <w:tcW w:w="2127" w:type="dxa"/>
          </w:tcPr>
          <w:p w14:paraId="4C381912" w14:textId="1CC1FA75" w:rsidR="00392D85" w:rsidRPr="00C66F23" w:rsidRDefault="00E16C0B" w:rsidP="00B634E2">
            <w:pPr>
              <w:spacing w:line="360" w:lineRule="auto"/>
              <w:rPr>
                <w:rFonts w:cs="Arial"/>
                <w:bCs/>
                <w:sz w:val="22"/>
              </w:rPr>
            </w:pPr>
            <w:r w:rsidRPr="00C66F23">
              <w:rPr>
                <w:rFonts w:cs="Arial"/>
                <w:bCs/>
                <w:sz w:val="22"/>
              </w:rPr>
              <w:t>Liczba posiedzeń sieci tematycznych, grup roboczych, komitetów oraz innych ciał angażujących partnerów</w:t>
            </w:r>
          </w:p>
        </w:tc>
        <w:tc>
          <w:tcPr>
            <w:tcW w:w="5811" w:type="dxa"/>
          </w:tcPr>
          <w:p w14:paraId="1F26A4F0" w14:textId="2C186419" w:rsidR="00392D85" w:rsidRPr="00C66F23" w:rsidRDefault="00E16C0B" w:rsidP="00B634E2">
            <w:pPr>
              <w:spacing w:line="360" w:lineRule="auto"/>
              <w:rPr>
                <w:rFonts w:cs="Arial"/>
                <w:bCs/>
                <w:sz w:val="22"/>
              </w:rPr>
            </w:pPr>
            <w:r w:rsidRPr="00C66F23">
              <w:rPr>
                <w:rFonts w:cs="Arial"/>
                <w:bCs/>
                <w:sz w:val="22"/>
              </w:rPr>
              <w:t>Obliczając wartość wskaźnika należy zsumować liczbę zorganizowanych posiedzeń sieci tematycznych, grup roboczych, komitetów oraz innych ciał angażujących partnerów, które są finansowane ze środków pomocy technicznej danego programu.</w:t>
            </w:r>
          </w:p>
        </w:tc>
        <w:tc>
          <w:tcPr>
            <w:tcW w:w="1165" w:type="dxa"/>
          </w:tcPr>
          <w:p w14:paraId="28924ACE" w14:textId="59CD83AA" w:rsidR="00392D85" w:rsidRPr="00C66F23" w:rsidRDefault="00E16C0B" w:rsidP="00B634E2">
            <w:pPr>
              <w:spacing w:line="360" w:lineRule="auto"/>
              <w:rPr>
                <w:rFonts w:cs="Arial"/>
                <w:bCs/>
                <w:sz w:val="22"/>
              </w:rPr>
            </w:pPr>
            <w:r w:rsidRPr="00C66F23">
              <w:rPr>
                <w:rFonts w:cs="Arial"/>
                <w:bCs/>
                <w:sz w:val="22"/>
              </w:rPr>
              <w:t>sztuka</w:t>
            </w:r>
          </w:p>
        </w:tc>
      </w:tr>
      <w:tr w:rsidR="00392D85" w:rsidRPr="00C66F23" w14:paraId="5E78DFDE" w14:textId="77777777" w:rsidTr="00A824B3">
        <w:tc>
          <w:tcPr>
            <w:tcW w:w="675" w:type="dxa"/>
          </w:tcPr>
          <w:p w14:paraId="045044A4" w14:textId="50059966" w:rsidR="00392D85" w:rsidRPr="00C66F23" w:rsidRDefault="00E16C0B" w:rsidP="00B634E2">
            <w:pPr>
              <w:spacing w:line="360" w:lineRule="auto"/>
              <w:rPr>
                <w:rFonts w:cs="Arial"/>
                <w:bCs/>
                <w:sz w:val="22"/>
              </w:rPr>
            </w:pPr>
            <w:r w:rsidRPr="00C66F23">
              <w:rPr>
                <w:rFonts w:cs="Arial"/>
                <w:bCs/>
                <w:sz w:val="22"/>
              </w:rPr>
              <w:t>8.</w:t>
            </w:r>
          </w:p>
        </w:tc>
        <w:tc>
          <w:tcPr>
            <w:tcW w:w="2127" w:type="dxa"/>
          </w:tcPr>
          <w:p w14:paraId="166605C5" w14:textId="72571203" w:rsidR="00392D85" w:rsidRPr="00C66F23" w:rsidRDefault="00E16C0B" w:rsidP="00B634E2">
            <w:pPr>
              <w:spacing w:line="360" w:lineRule="auto"/>
              <w:rPr>
                <w:rFonts w:cs="Arial"/>
                <w:bCs/>
                <w:sz w:val="22"/>
              </w:rPr>
            </w:pPr>
            <w:r w:rsidRPr="00C66F23">
              <w:rPr>
                <w:rFonts w:cs="Arial"/>
                <w:bCs/>
                <w:sz w:val="22"/>
              </w:rPr>
              <w:t>Liczba uczestników form szkoleniowych dla beneficjentów</w:t>
            </w:r>
          </w:p>
        </w:tc>
        <w:tc>
          <w:tcPr>
            <w:tcW w:w="5811" w:type="dxa"/>
          </w:tcPr>
          <w:p w14:paraId="62F82743" w14:textId="04BE970D" w:rsidR="00392D85" w:rsidRPr="00C66F23" w:rsidRDefault="00E16C0B" w:rsidP="00B634E2">
            <w:pPr>
              <w:spacing w:line="360" w:lineRule="auto"/>
              <w:rPr>
                <w:rFonts w:cs="Arial"/>
                <w:bCs/>
                <w:sz w:val="22"/>
              </w:rPr>
            </w:pPr>
            <w:r w:rsidRPr="00C66F23">
              <w:rPr>
                <w:rFonts w:cs="Arial"/>
                <w:bCs/>
                <w:sz w:val="22"/>
              </w:rPr>
              <w:t>Obliczając wartość wskaźnika należy zsumować wszystkich uczestników wszystkich form szkoleniowych dla beneficjentów lub potencjalnych beneficjentów (tj. szkoleń, warsztatów, seminariów, kursów itp.) finansowanych ze środków pomocy technicznej.</w:t>
            </w:r>
          </w:p>
        </w:tc>
        <w:tc>
          <w:tcPr>
            <w:tcW w:w="1165" w:type="dxa"/>
          </w:tcPr>
          <w:p w14:paraId="6507273B" w14:textId="63F857EF" w:rsidR="00392D85" w:rsidRPr="00C66F23" w:rsidRDefault="00E16C0B" w:rsidP="00B634E2">
            <w:pPr>
              <w:spacing w:line="360" w:lineRule="auto"/>
              <w:rPr>
                <w:rFonts w:cs="Arial"/>
                <w:bCs/>
                <w:sz w:val="22"/>
              </w:rPr>
            </w:pPr>
            <w:r w:rsidRPr="00C66F23">
              <w:rPr>
                <w:rFonts w:cs="Arial"/>
                <w:bCs/>
                <w:sz w:val="22"/>
              </w:rPr>
              <w:t>osoba</w:t>
            </w:r>
          </w:p>
        </w:tc>
      </w:tr>
      <w:tr w:rsidR="00392D85" w:rsidRPr="00C66F23" w14:paraId="25C3D552" w14:textId="77777777" w:rsidTr="00A824B3">
        <w:tc>
          <w:tcPr>
            <w:tcW w:w="675" w:type="dxa"/>
          </w:tcPr>
          <w:p w14:paraId="5E3134E4" w14:textId="764616E1" w:rsidR="00392D85" w:rsidRPr="00C66F23" w:rsidRDefault="00E16C0B" w:rsidP="00B634E2">
            <w:pPr>
              <w:spacing w:line="360" w:lineRule="auto"/>
              <w:rPr>
                <w:rFonts w:cs="Arial"/>
                <w:bCs/>
                <w:sz w:val="22"/>
              </w:rPr>
            </w:pPr>
            <w:r w:rsidRPr="00C66F23">
              <w:rPr>
                <w:rFonts w:cs="Arial"/>
                <w:bCs/>
                <w:sz w:val="22"/>
              </w:rPr>
              <w:t>9.</w:t>
            </w:r>
          </w:p>
        </w:tc>
        <w:tc>
          <w:tcPr>
            <w:tcW w:w="2127" w:type="dxa"/>
          </w:tcPr>
          <w:p w14:paraId="35939869" w14:textId="77777777" w:rsidR="00E16C0B" w:rsidRPr="00C66F23" w:rsidRDefault="00E16C0B" w:rsidP="00B634E2">
            <w:pPr>
              <w:spacing w:line="360" w:lineRule="auto"/>
              <w:rPr>
                <w:rFonts w:cs="Arial"/>
                <w:bCs/>
                <w:sz w:val="22"/>
              </w:rPr>
            </w:pPr>
            <w:r w:rsidRPr="00C66F23">
              <w:rPr>
                <w:rFonts w:cs="Arial"/>
                <w:bCs/>
                <w:sz w:val="22"/>
              </w:rPr>
              <w:t>Liczba działań</w:t>
            </w:r>
          </w:p>
          <w:p w14:paraId="20C70897" w14:textId="7A4AC79D" w:rsidR="00392D85" w:rsidRPr="00C66F23" w:rsidRDefault="00E16C0B" w:rsidP="00B634E2">
            <w:pPr>
              <w:spacing w:line="360" w:lineRule="auto"/>
              <w:rPr>
                <w:rFonts w:cs="Arial"/>
                <w:bCs/>
                <w:sz w:val="22"/>
              </w:rPr>
            </w:pPr>
            <w:proofErr w:type="spellStart"/>
            <w:r w:rsidRPr="00C66F23">
              <w:rPr>
                <w:rFonts w:cs="Arial"/>
                <w:bCs/>
                <w:sz w:val="22"/>
              </w:rPr>
              <w:t>informacyjno</w:t>
            </w:r>
            <w:proofErr w:type="spellEnd"/>
            <w:r w:rsidRPr="00C66F23">
              <w:rPr>
                <w:rFonts w:cs="Arial"/>
                <w:bCs/>
                <w:sz w:val="22"/>
              </w:rPr>
              <w:t xml:space="preserve"> – promocyjnych o szerokim zasięgu</w:t>
            </w:r>
          </w:p>
        </w:tc>
        <w:tc>
          <w:tcPr>
            <w:tcW w:w="5811" w:type="dxa"/>
          </w:tcPr>
          <w:p w14:paraId="0EA142B4" w14:textId="02DAD086" w:rsidR="00392D85" w:rsidRPr="00C66F23" w:rsidRDefault="00E16C0B" w:rsidP="00B634E2">
            <w:pPr>
              <w:spacing w:line="360" w:lineRule="auto"/>
              <w:rPr>
                <w:rFonts w:cs="Arial"/>
                <w:bCs/>
                <w:sz w:val="22"/>
              </w:rPr>
            </w:pPr>
            <w:r w:rsidRPr="00C66F23">
              <w:rPr>
                <w:rFonts w:cs="Arial"/>
                <w:bCs/>
                <w:sz w:val="22"/>
              </w:rPr>
              <w:t>Liczba zrealizowanych działań informacyjno-promocyjnych o szerokim zasięgu (w  rozumieniu rozporządzenia ogólnego, zał. XII pkt 2.1.2 b) promujących część lub cały program operacyjny, skierowanych do minimum 2 grup docelowych i wykorzystujących minimum 3 narzędzia komunikacji, przy czym wszystkie te działania są realizowane pod wspólnym komunikatem.</w:t>
            </w:r>
          </w:p>
        </w:tc>
        <w:tc>
          <w:tcPr>
            <w:tcW w:w="1165" w:type="dxa"/>
          </w:tcPr>
          <w:p w14:paraId="5B88AF8F" w14:textId="394BD9AB" w:rsidR="00392D85" w:rsidRPr="00C66F23" w:rsidRDefault="00E16C0B" w:rsidP="00B634E2">
            <w:pPr>
              <w:spacing w:line="360" w:lineRule="auto"/>
              <w:rPr>
                <w:rFonts w:cs="Arial"/>
                <w:bCs/>
                <w:sz w:val="22"/>
              </w:rPr>
            </w:pPr>
            <w:r w:rsidRPr="00C66F23">
              <w:rPr>
                <w:rFonts w:cs="Arial"/>
                <w:bCs/>
                <w:sz w:val="22"/>
              </w:rPr>
              <w:t>sztuka</w:t>
            </w:r>
          </w:p>
        </w:tc>
      </w:tr>
      <w:tr w:rsidR="00392D85" w:rsidRPr="00C66F23" w14:paraId="027CC5FF" w14:textId="77777777" w:rsidTr="00A824B3">
        <w:tc>
          <w:tcPr>
            <w:tcW w:w="675" w:type="dxa"/>
          </w:tcPr>
          <w:p w14:paraId="64DB727E" w14:textId="6635B62C" w:rsidR="00392D85" w:rsidRPr="00C66F23" w:rsidRDefault="00E16C0B" w:rsidP="00B634E2">
            <w:pPr>
              <w:spacing w:line="360" w:lineRule="auto"/>
              <w:rPr>
                <w:rFonts w:cs="Arial"/>
                <w:bCs/>
                <w:sz w:val="22"/>
              </w:rPr>
            </w:pPr>
            <w:r w:rsidRPr="00C66F23">
              <w:rPr>
                <w:rFonts w:cs="Arial"/>
                <w:bCs/>
                <w:sz w:val="22"/>
              </w:rPr>
              <w:t>10.</w:t>
            </w:r>
          </w:p>
        </w:tc>
        <w:tc>
          <w:tcPr>
            <w:tcW w:w="2127" w:type="dxa"/>
          </w:tcPr>
          <w:p w14:paraId="51C44575" w14:textId="7DC0F488" w:rsidR="00392D85" w:rsidRPr="00C66F23" w:rsidRDefault="00E16C0B" w:rsidP="00B634E2">
            <w:pPr>
              <w:spacing w:line="360" w:lineRule="auto"/>
              <w:rPr>
                <w:rFonts w:cs="Arial"/>
                <w:bCs/>
                <w:sz w:val="22"/>
              </w:rPr>
            </w:pPr>
            <w:r w:rsidRPr="00C66F23">
              <w:rPr>
                <w:rFonts w:cs="Arial"/>
                <w:bCs/>
                <w:sz w:val="22"/>
              </w:rPr>
              <w:t xml:space="preserve">Liczba materiałów informacyjnych lub promocyjnych na temat </w:t>
            </w:r>
            <w:proofErr w:type="spellStart"/>
            <w:r w:rsidRPr="00C66F23">
              <w:rPr>
                <w:rFonts w:cs="Arial"/>
                <w:bCs/>
                <w:sz w:val="22"/>
              </w:rPr>
              <w:t>React</w:t>
            </w:r>
            <w:proofErr w:type="spellEnd"/>
            <w:r w:rsidRPr="00C66F23">
              <w:rPr>
                <w:rFonts w:cs="Arial"/>
                <w:bCs/>
                <w:sz w:val="22"/>
              </w:rPr>
              <w:t xml:space="preserve">-EU wydanych w formie </w:t>
            </w:r>
            <w:r w:rsidR="00CD49A8" w:rsidRPr="00C66F23">
              <w:rPr>
                <w:rFonts w:cs="Arial" w:hint="eastAsia"/>
                <w:sz w:val="22"/>
              </w:rPr>
              <w:t>elektronicznej</w:t>
            </w:r>
            <w:r w:rsidR="00CD49A8" w:rsidRPr="00C66F23">
              <w:rPr>
                <w:rStyle w:val="Odwoanieprzypisudolnego"/>
                <w:rFonts w:cs="Arial"/>
                <w:sz w:val="22"/>
              </w:rPr>
              <w:footnoteReference w:id="1"/>
            </w:r>
          </w:p>
        </w:tc>
        <w:tc>
          <w:tcPr>
            <w:tcW w:w="5811" w:type="dxa"/>
          </w:tcPr>
          <w:p w14:paraId="17ABC822" w14:textId="77777777" w:rsidR="00E16C0B" w:rsidRPr="00C66F23" w:rsidRDefault="00E16C0B" w:rsidP="00B634E2">
            <w:pPr>
              <w:spacing w:line="360" w:lineRule="auto"/>
              <w:rPr>
                <w:rFonts w:cs="Arial"/>
                <w:bCs/>
                <w:sz w:val="22"/>
              </w:rPr>
            </w:pPr>
            <w:r w:rsidRPr="00C66F23">
              <w:rPr>
                <w:rFonts w:cs="Arial"/>
                <w:bCs/>
                <w:sz w:val="22"/>
              </w:rPr>
              <w:t xml:space="preserve">Obliczając wartość wskaźnika należy zsumować wszystkie materiały informacyjne i promocyjne na temat </w:t>
            </w:r>
            <w:proofErr w:type="spellStart"/>
            <w:r w:rsidRPr="00C66F23">
              <w:rPr>
                <w:rFonts w:cs="Arial"/>
                <w:bCs/>
                <w:sz w:val="22"/>
              </w:rPr>
              <w:t>React</w:t>
            </w:r>
            <w:proofErr w:type="spellEnd"/>
            <w:r w:rsidRPr="00C66F23">
              <w:rPr>
                <w:rFonts w:cs="Arial"/>
                <w:bCs/>
                <w:sz w:val="22"/>
              </w:rPr>
              <w:t xml:space="preserve"> – EU wydane w formie elektronicznej i publicznie dostępne. Zliczane będą np. utwory filmowe, dźwiękowe, pliki zawierające prezentacje multimedialne np. ze spotkań lub konferencji, gry komputerowe oraz publikacje. W przypadku publikacji należy zliczyć tytuły wydanych broszur, podręczników, przewodników i innych publikacji </w:t>
            </w:r>
            <w:r w:rsidRPr="00C66F23">
              <w:rPr>
                <w:rFonts w:cs="Arial"/>
                <w:bCs/>
                <w:sz w:val="22"/>
              </w:rPr>
              <w:lastRenderedPageBreak/>
              <w:t>promocyjnych i informacyjnych innych niż akty prawne, tekst wytycznych, programu operacyjnego lub załączników do niego oraz innych dokumentów. Nie należy wliczać publikacji w znaczeniu artykułów prasowych lub internetowych. Niezależnie od liczby wydanych egzemplarzy w formie papierowej dany materiał informacyjno-promocyjny należy policzyć tylko raz i tylko wtedy gdy został udostępniony w formie elektronicznej. W przypadku broszur wydawanych cyklicznie (np. kwartalników, miesięczników) każdy numer należy policzyć osobno.</w:t>
            </w:r>
          </w:p>
          <w:p w14:paraId="71A972BE" w14:textId="34298ECD" w:rsidR="00392D85" w:rsidRPr="00C66F23" w:rsidRDefault="00E16C0B" w:rsidP="00B634E2">
            <w:pPr>
              <w:spacing w:line="360" w:lineRule="auto"/>
              <w:rPr>
                <w:rFonts w:cs="Arial"/>
                <w:bCs/>
                <w:sz w:val="22"/>
              </w:rPr>
            </w:pPr>
            <w:r w:rsidRPr="00C66F23">
              <w:rPr>
                <w:rFonts w:cs="Arial"/>
                <w:bCs/>
                <w:sz w:val="22"/>
              </w:rPr>
              <w:t>Do wartości wskaźnika nie wlicza się materiałów informacyjnych i promocyjnych wyprodukowanych w ramach kampanii wliczanej do wskaźnika „Liczba działań informacyjno-promocyjnych o szerokim zasięgu”.</w:t>
            </w:r>
          </w:p>
        </w:tc>
        <w:tc>
          <w:tcPr>
            <w:tcW w:w="1165" w:type="dxa"/>
          </w:tcPr>
          <w:p w14:paraId="0CA3C9AE" w14:textId="323458A3" w:rsidR="00392D85" w:rsidRPr="00C66F23" w:rsidRDefault="00E16C0B" w:rsidP="00B634E2">
            <w:pPr>
              <w:spacing w:line="360" w:lineRule="auto"/>
              <w:rPr>
                <w:rFonts w:cs="Arial"/>
                <w:bCs/>
                <w:sz w:val="22"/>
              </w:rPr>
            </w:pPr>
            <w:r w:rsidRPr="00C66F23">
              <w:rPr>
                <w:rFonts w:cs="Arial"/>
                <w:bCs/>
                <w:sz w:val="22"/>
              </w:rPr>
              <w:lastRenderedPageBreak/>
              <w:t>sztuka</w:t>
            </w:r>
          </w:p>
        </w:tc>
      </w:tr>
    </w:tbl>
    <w:p w14:paraId="26187B48" w14:textId="143E340E" w:rsidR="00392D85" w:rsidRPr="00C66F23" w:rsidRDefault="00392D85" w:rsidP="00B634E2">
      <w:pPr>
        <w:spacing w:after="0" w:line="360" w:lineRule="auto"/>
        <w:rPr>
          <w:rFonts w:cs="Arial"/>
          <w:b w:val="0"/>
          <w:sz w:val="22"/>
        </w:rPr>
      </w:pPr>
    </w:p>
    <w:p w14:paraId="315FA7B9" w14:textId="3DB2253F" w:rsidR="00392D85" w:rsidRPr="00C66F23" w:rsidRDefault="00392D85" w:rsidP="006A7050">
      <w:pPr>
        <w:spacing w:after="0"/>
        <w:jc w:val="center"/>
        <w:rPr>
          <w:rFonts w:cs="Arial"/>
          <w:b w:val="0"/>
          <w:sz w:val="22"/>
        </w:rPr>
      </w:pPr>
    </w:p>
    <w:p w14:paraId="764BAED6" w14:textId="507F367C" w:rsidR="00392D85" w:rsidRDefault="00392D85" w:rsidP="006A7050">
      <w:pPr>
        <w:spacing w:after="0"/>
        <w:jc w:val="center"/>
        <w:rPr>
          <w:rFonts w:cs="Arial"/>
          <w:b w:val="0"/>
          <w:sz w:val="20"/>
          <w:szCs w:val="20"/>
        </w:rPr>
      </w:pPr>
    </w:p>
    <w:p w14:paraId="1AE05AA6" w14:textId="77777777" w:rsidR="00E702C8" w:rsidRPr="002E1CAA" w:rsidRDefault="00E702C8" w:rsidP="006A7050">
      <w:pPr>
        <w:spacing w:after="0"/>
        <w:rPr>
          <w:rFonts w:cs="Arial"/>
          <w:b w:val="0"/>
          <w:sz w:val="20"/>
          <w:szCs w:val="20"/>
        </w:rPr>
      </w:pPr>
    </w:p>
    <w:sectPr w:rsidR="00E702C8" w:rsidRPr="002E1CAA" w:rsidSect="00EE055B">
      <w:pgSz w:w="11906" w:h="16838" w:code="9"/>
      <w:pgMar w:top="680" w:right="1134" w:bottom="28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A05C" w14:textId="77777777" w:rsidR="00C96475" w:rsidRDefault="00C96475" w:rsidP="006A7050">
      <w:pPr>
        <w:spacing w:after="0" w:line="240" w:lineRule="auto"/>
      </w:pPr>
      <w:r>
        <w:separator/>
      </w:r>
    </w:p>
  </w:endnote>
  <w:endnote w:type="continuationSeparator" w:id="0">
    <w:p w14:paraId="6AABE5D1" w14:textId="77777777" w:rsidR="00C96475" w:rsidRDefault="00C96475" w:rsidP="006A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5B70" w14:textId="77777777" w:rsidR="00C96475" w:rsidRDefault="00C96475" w:rsidP="006A7050">
      <w:pPr>
        <w:spacing w:after="0" w:line="240" w:lineRule="auto"/>
      </w:pPr>
      <w:r>
        <w:separator/>
      </w:r>
    </w:p>
  </w:footnote>
  <w:footnote w:type="continuationSeparator" w:id="0">
    <w:p w14:paraId="06D78950" w14:textId="77777777" w:rsidR="00C96475" w:rsidRDefault="00C96475" w:rsidP="006A7050">
      <w:pPr>
        <w:spacing w:after="0" w:line="240" w:lineRule="auto"/>
      </w:pPr>
      <w:r>
        <w:continuationSeparator/>
      </w:r>
    </w:p>
  </w:footnote>
  <w:footnote w:id="1">
    <w:p w14:paraId="6E720D40" w14:textId="77777777" w:rsidR="00CD49A8" w:rsidRDefault="00CD49A8" w:rsidP="00CD49A8">
      <w:pPr>
        <w:pStyle w:val="Tekstprzypisudolnego"/>
      </w:pPr>
      <w:r w:rsidRPr="0078120A">
        <w:rPr>
          <w:rStyle w:val="Odwoanieprzypisudolnego"/>
        </w:rPr>
        <w:footnoteRef/>
      </w:r>
      <w:r w:rsidRPr="0078120A">
        <w:t xml:space="preserve"> Wskaźnik dla osi XII Pomoc techniczna React-EU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00"/>
    <w:multiLevelType w:val="hybridMultilevel"/>
    <w:tmpl w:val="D2C2F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835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14"/>
    <w:rsid w:val="00014A9A"/>
    <w:rsid w:val="000C6EEE"/>
    <w:rsid w:val="000E6ADA"/>
    <w:rsid w:val="0013484F"/>
    <w:rsid w:val="001A2E02"/>
    <w:rsid w:val="001A5366"/>
    <w:rsid w:val="001F660D"/>
    <w:rsid w:val="00240B9D"/>
    <w:rsid w:val="002E1CAA"/>
    <w:rsid w:val="00300B6A"/>
    <w:rsid w:val="00307387"/>
    <w:rsid w:val="00392D85"/>
    <w:rsid w:val="003F16AF"/>
    <w:rsid w:val="004F21BE"/>
    <w:rsid w:val="00521BAD"/>
    <w:rsid w:val="00556A7E"/>
    <w:rsid w:val="00613A4B"/>
    <w:rsid w:val="006A7050"/>
    <w:rsid w:val="0078120A"/>
    <w:rsid w:val="007A6DB3"/>
    <w:rsid w:val="008C47D3"/>
    <w:rsid w:val="00956797"/>
    <w:rsid w:val="009B420F"/>
    <w:rsid w:val="00A824B3"/>
    <w:rsid w:val="00B634E2"/>
    <w:rsid w:val="00B63F3F"/>
    <w:rsid w:val="00B844FE"/>
    <w:rsid w:val="00B8527F"/>
    <w:rsid w:val="00BB1D4D"/>
    <w:rsid w:val="00C02F93"/>
    <w:rsid w:val="00C25D18"/>
    <w:rsid w:val="00C66F23"/>
    <w:rsid w:val="00C96475"/>
    <w:rsid w:val="00CC66E4"/>
    <w:rsid w:val="00CD49A8"/>
    <w:rsid w:val="00DB1F3E"/>
    <w:rsid w:val="00DC3714"/>
    <w:rsid w:val="00E13125"/>
    <w:rsid w:val="00E16C0B"/>
    <w:rsid w:val="00E6131F"/>
    <w:rsid w:val="00E702C8"/>
    <w:rsid w:val="00EB31A7"/>
    <w:rsid w:val="00ED042B"/>
    <w:rsid w:val="00EE055B"/>
    <w:rsid w:val="00F55767"/>
    <w:rsid w:val="00F94B30"/>
    <w:rsid w:val="00FE7640"/>
    <w:rsid w:val="00FF5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967D"/>
  <w15:docId w15:val="{ED3DE229-030B-4A04-8FFC-3C4BC7A0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D85"/>
    <w:rPr>
      <w:rFonts w:ascii="Arial" w:hAnsi="Arial"/>
      <w:b/>
      <w:sz w:val="24"/>
    </w:rPr>
  </w:style>
  <w:style w:type="paragraph" w:styleId="Nagwek1">
    <w:name w:val="heading 1"/>
    <w:basedOn w:val="Tytu"/>
    <w:next w:val="Normalny"/>
    <w:link w:val="Nagwek1Znak"/>
    <w:uiPriority w:val="9"/>
    <w:qFormat/>
    <w:rsid w:val="00C02F93"/>
    <w:pPr>
      <w:outlineLvl w:val="0"/>
    </w:pPr>
  </w:style>
  <w:style w:type="paragraph" w:styleId="Nagwek2">
    <w:name w:val="heading 2"/>
    <w:basedOn w:val="Normalny"/>
    <w:next w:val="Normalny"/>
    <w:link w:val="Nagwek2Znak"/>
    <w:uiPriority w:val="9"/>
    <w:unhideWhenUsed/>
    <w:qFormat/>
    <w:rsid w:val="00C02F93"/>
    <w:pPr>
      <w:spacing w:after="0" w:line="360" w:lineRule="auto"/>
      <w:outlineLvl w:val="1"/>
    </w:pPr>
    <w:rPr>
      <w:rFonts w:cs="Arial"/>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C3714"/>
    <w:pPr>
      <w:ind w:left="720"/>
      <w:contextualSpacing/>
    </w:pPr>
  </w:style>
  <w:style w:type="paragraph" w:styleId="Nagwek">
    <w:name w:val="header"/>
    <w:basedOn w:val="Normalny"/>
    <w:link w:val="NagwekZnak"/>
    <w:uiPriority w:val="99"/>
    <w:semiHidden/>
    <w:unhideWhenUsed/>
    <w:rsid w:val="006A70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A7050"/>
  </w:style>
  <w:style w:type="paragraph" w:styleId="Stopka">
    <w:name w:val="footer"/>
    <w:basedOn w:val="Normalny"/>
    <w:link w:val="StopkaZnak"/>
    <w:uiPriority w:val="99"/>
    <w:semiHidden/>
    <w:unhideWhenUsed/>
    <w:rsid w:val="006A70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A7050"/>
  </w:style>
  <w:style w:type="paragraph" w:styleId="Tekstprzypisudolnego">
    <w:name w:val="footnote text"/>
    <w:basedOn w:val="Normalny"/>
    <w:link w:val="TekstprzypisudolnegoZnak"/>
    <w:uiPriority w:val="99"/>
    <w:semiHidden/>
    <w:unhideWhenUsed/>
    <w:rsid w:val="003F16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16AF"/>
    <w:rPr>
      <w:sz w:val="20"/>
      <w:szCs w:val="20"/>
    </w:rPr>
  </w:style>
  <w:style w:type="character" w:styleId="Odwoanieprzypisudolnego">
    <w:name w:val="footnote reference"/>
    <w:basedOn w:val="Domylnaczcionkaakapitu"/>
    <w:uiPriority w:val="99"/>
    <w:semiHidden/>
    <w:unhideWhenUsed/>
    <w:rsid w:val="003F16AF"/>
    <w:rPr>
      <w:vertAlign w:val="superscript"/>
    </w:rPr>
  </w:style>
  <w:style w:type="paragraph" w:styleId="Tytu">
    <w:name w:val="Title"/>
    <w:basedOn w:val="Normalny"/>
    <w:next w:val="Normalny"/>
    <w:link w:val="TytuZnak"/>
    <w:uiPriority w:val="10"/>
    <w:qFormat/>
    <w:rsid w:val="00392D85"/>
    <w:pPr>
      <w:spacing w:after="0" w:line="240" w:lineRule="auto"/>
      <w:contextualSpacing/>
      <w:jc w:val="center"/>
    </w:pPr>
    <w:rPr>
      <w:rFonts w:eastAsiaTheme="majorEastAsia" w:cstheme="majorBidi"/>
      <w:spacing w:val="-10"/>
      <w:kern w:val="28"/>
      <w:szCs w:val="56"/>
    </w:rPr>
  </w:style>
  <w:style w:type="character" w:customStyle="1" w:styleId="TytuZnak">
    <w:name w:val="Tytuł Znak"/>
    <w:basedOn w:val="Domylnaczcionkaakapitu"/>
    <w:link w:val="Tytu"/>
    <w:uiPriority w:val="10"/>
    <w:rsid w:val="00392D85"/>
    <w:rPr>
      <w:rFonts w:ascii="Arial" w:eastAsiaTheme="majorEastAsia" w:hAnsi="Arial" w:cstheme="majorBidi"/>
      <w:b/>
      <w:spacing w:val="-10"/>
      <w:kern w:val="28"/>
      <w:sz w:val="24"/>
      <w:szCs w:val="56"/>
    </w:rPr>
  </w:style>
  <w:style w:type="character" w:customStyle="1" w:styleId="Nagwek1Znak">
    <w:name w:val="Nagłówek 1 Znak"/>
    <w:basedOn w:val="Domylnaczcionkaakapitu"/>
    <w:link w:val="Nagwek1"/>
    <w:uiPriority w:val="9"/>
    <w:rsid w:val="00C02F93"/>
    <w:rPr>
      <w:rFonts w:ascii="Arial" w:eastAsiaTheme="majorEastAsia" w:hAnsi="Arial" w:cstheme="majorBidi"/>
      <w:b/>
      <w:spacing w:val="-10"/>
      <w:kern w:val="28"/>
      <w:sz w:val="24"/>
      <w:szCs w:val="56"/>
    </w:rPr>
  </w:style>
  <w:style w:type="character" w:customStyle="1" w:styleId="Nagwek2Znak">
    <w:name w:val="Nagłówek 2 Znak"/>
    <w:basedOn w:val="Domylnaczcionkaakapitu"/>
    <w:link w:val="Nagwek2"/>
    <w:uiPriority w:val="9"/>
    <w:rsid w:val="00C02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FB608-72BF-4CDC-8D0C-A35627BF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1102</Words>
  <Characters>6613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Zał. nr 1 Lista wskaźników produktu</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 Lista wskaźników produktu</dc:title>
  <dc:subject/>
  <dc:creator>k.popkiewicz</dc:creator>
  <cp:keywords/>
  <dc:description/>
  <cp:lastModifiedBy>Darłak Aneta</cp:lastModifiedBy>
  <cp:revision>23</cp:revision>
  <cp:lastPrinted>2022-05-23T10:40:00Z</cp:lastPrinted>
  <dcterms:created xsi:type="dcterms:W3CDTF">2015-03-12T09:18:00Z</dcterms:created>
  <dcterms:modified xsi:type="dcterms:W3CDTF">2022-06-01T10:44:00Z</dcterms:modified>
</cp:coreProperties>
</file>