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A84" w:rsidRDefault="006A7355" w:rsidP="00C46B22">
      <w:pPr>
        <w:suppressAutoHyphens/>
        <w:spacing w:after="0" w:line="240" w:lineRule="auto"/>
        <w:jc w:val="right"/>
        <w:rPr>
          <w:rFonts w:ascii="Arial" w:eastAsia="Times New Roman" w:hAnsi="Arial" w:cs="Arial"/>
          <w:b/>
          <w:bCs/>
        </w:rPr>
      </w:pPr>
      <w:r>
        <w:rPr>
          <w:rFonts w:ascii="Arial" w:eastAsia="Times New Roman" w:hAnsi="Arial" w:cs="Arial"/>
          <w:b/>
          <w:bCs/>
        </w:rPr>
        <w:t>Załącznik 3.1 do R</w:t>
      </w:r>
      <w:r w:rsidR="00C46B22">
        <w:rPr>
          <w:rFonts w:ascii="Arial" w:eastAsia="Times New Roman" w:hAnsi="Arial" w:cs="Arial"/>
          <w:b/>
          <w:bCs/>
        </w:rPr>
        <w:t xml:space="preserve">egulaminu </w:t>
      </w:r>
      <w:r w:rsidR="003919C3">
        <w:rPr>
          <w:rFonts w:ascii="Arial" w:eastAsia="Times New Roman" w:hAnsi="Arial" w:cs="Arial"/>
          <w:b/>
          <w:bCs/>
        </w:rPr>
        <w:t>naboru</w:t>
      </w:r>
      <w:bookmarkStart w:id="0" w:name="_GoBack"/>
      <w:bookmarkEnd w:id="0"/>
    </w:p>
    <w:p w:rsidR="00C46B22" w:rsidRPr="00FD432B" w:rsidRDefault="00C46B22" w:rsidP="00C46B22">
      <w:pPr>
        <w:suppressAutoHyphens/>
        <w:spacing w:after="0" w:line="240" w:lineRule="auto"/>
        <w:jc w:val="right"/>
        <w:rPr>
          <w:rFonts w:ascii="Arial" w:eastAsia="Times New Roman" w:hAnsi="Arial" w:cs="Arial"/>
          <w:b/>
          <w:bCs/>
        </w:rPr>
      </w:pPr>
    </w:p>
    <w:p w:rsidR="00580A84" w:rsidRPr="00FD432B" w:rsidRDefault="00580A84" w:rsidP="00FD432B">
      <w:pPr>
        <w:suppressAutoHyphens/>
        <w:spacing w:after="0" w:line="240" w:lineRule="auto"/>
        <w:jc w:val="center"/>
        <w:rPr>
          <w:rFonts w:ascii="Arial" w:eastAsia="Times New Roman" w:hAnsi="Arial" w:cs="Arial"/>
          <w:b/>
          <w:bCs/>
        </w:rPr>
      </w:pPr>
      <w:r w:rsidRPr="00FD432B">
        <w:rPr>
          <w:rFonts w:ascii="Arial" w:eastAsia="Times New Roman" w:hAnsi="Arial" w:cs="Arial"/>
          <w:b/>
          <w:bCs/>
        </w:rPr>
        <w:t xml:space="preserve">Instrukcja wypełniania </w:t>
      </w:r>
      <w:r w:rsidRPr="00FD432B">
        <w:rPr>
          <w:rFonts w:ascii="Arial" w:eastAsia="Times New Roman" w:hAnsi="Arial" w:cs="Arial"/>
          <w:b/>
          <w:bCs/>
          <w:i/>
        </w:rPr>
        <w:t>Części środowiskowej wniosku o dofinansowanie</w:t>
      </w:r>
      <w:r w:rsidRPr="00FD432B">
        <w:rPr>
          <w:rFonts w:ascii="Arial" w:eastAsia="Times New Roman" w:hAnsi="Arial" w:cs="Arial"/>
          <w:b/>
          <w:bCs/>
        </w:rPr>
        <w:t xml:space="preserve">  </w:t>
      </w:r>
    </w:p>
    <w:p w:rsidR="00580A84" w:rsidRPr="00FD432B" w:rsidRDefault="00580A84" w:rsidP="00FD432B">
      <w:pPr>
        <w:suppressAutoHyphens/>
        <w:spacing w:after="0" w:line="240" w:lineRule="auto"/>
        <w:jc w:val="center"/>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 xml:space="preserve">Informacje ogólne: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uzasadnionych przypadkach dotyczących projektu złożonego z kilku przedsięwzięć istnieje możliwość powielenia części środowiskowej w całości lub w zakresie poszczególnych punktów w zależności od specyfiki projektu.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Nie ma </w:t>
      </w:r>
      <w:r w:rsidR="007C125B">
        <w:rPr>
          <w:rFonts w:ascii="Arial" w:eastAsia="Times New Roman" w:hAnsi="Arial" w:cs="Arial"/>
        </w:rPr>
        <w:t>konieczności powielania punktów,</w:t>
      </w:r>
      <w:r w:rsidRPr="00FD432B">
        <w:rPr>
          <w:rFonts w:ascii="Arial" w:eastAsia="Times New Roman" w:hAnsi="Arial" w:cs="Arial"/>
        </w:rPr>
        <w:t xml:space="preserve"> których treść się nie zmienia. Należy jednak wskazać, które punkty stanowią część wspólną dla wszystkich przedsięwzięć.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u w:val="single"/>
        </w:rPr>
      </w:pPr>
      <w:r w:rsidRPr="00FD432B">
        <w:rPr>
          <w:rFonts w:ascii="Arial" w:eastAsia="Times New Roman" w:hAnsi="Arial" w:cs="Arial"/>
          <w:u w:val="single"/>
        </w:rPr>
        <w:t>W polach niewypełnianych należy wpisać „nie dotyczy” (o ile jest to zasadne z uwagi na rodzaj projektu).</w:t>
      </w:r>
    </w:p>
    <w:p w:rsidR="00580A84" w:rsidRPr="00FD432B" w:rsidRDefault="00580A84" w:rsidP="00FD432B">
      <w:pPr>
        <w:suppressAutoHyphens/>
        <w:spacing w:after="0" w:line="240" w:lineRule="auto"/>
        <w:jc w:val="both"/>
        <w:rPr>
          <w:rFonts w:ascii="Arial" w:eastAsia="Times New Roman" w:hAnsi="Arial" w:cs="Arial"/>
          <w:smallCaps/>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„Przedsięwzięcie” jest pojęciem, które należy rozumieć zgodnie z ustawą z dnia </w:t>
      </w:r>
      <w:r w:rsidRPr="00FD432B">
        <w:rPr>
          <w:rFonts w:ascii="Arial" w:eastAsia="Times New Roman" w:hAnsi="Arial" w:cs="Arial"/>
        </w:rPr>
        <w:br/>
        <w:t xml:space="preserve">3 października 2008 r. </w:t>
      </w:r>
      <w:r w:rsidRPr="00FD432B">
        <w:rPr>
          <w:rFonts w:ascii="Arial" w:eastAsia="Times New Roman" w:hAnsi="Arial" w:cs="Arial"/>
          <w:i/>
        </w:rPr>
        <w:t>o udostępnianiu informacji o środowisku i jego ochronie, udziale społeczeństwa w ochronie środowiska oraz o ocenach oddziaływania na środowisko</w:t>
      </w:r>
      <w:r w:rsidRPr="00FD432B">
        <w:rPr>
          <w:rFonts w:ascii="Arial" w:eastAsia="Times New Roman" w:hAnsi="Arial" w:cs="Arial"/>
        </w:rPr>
        <w:t xml:space="preserve"> (zwaną dalej ustawą OOŚ) oraz rozporządzeniem Rady Ministrów z 9 listopada 2010 r. </w:t>
      </w:r>
      <w:r w:rsidRPr="00FD432B">
        <w:rPr>
          <w:rFonts w:ascii="Arial" w:eastAsia="Times New Roman" w:hAnsi="Arial" w:cs="Arial"/>
          <w:i/>
        </w:rPr>
        <w:t>w sprawie przedsięwzięć mogących znacząco oddziaływać na środowisko</w:t>
      </w:r>
      <w:r w:rsidRPr="00FD432B">
        <w:rPr>
          <w:rFonts w:ascii="Arial" w:eastAsia="Times New Roman" w:hAnsi="Arial" w:cs="Arial"/>
        </w:rPr>
        <w:t xml:space="preserve"> (zwanym dalej rozporządzeniem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i/>
        </w:rPr>
      </w:pPr>
      <w:r w:rsidRPr="00FD432B">
        <w:rPr>
          <w:rFonts w:ascii="Arial" w:eastAsia="Times New Roman" w:hAnsi="Arial" w:cs="Arial"/>
        </w:rPr>
        <w:t xml:space="preserve">Organem właściwym do wydania </w:t>
      </w:r>
      <w:r w:rsidRPr="00FD432B">
        <w:rPr>
          <w:rFonts w:ascii="Arial" w:eastAsia="Times New Roman" w:hAnsi="Arial" w:cs="Arial"/>
          <w:i/>
        </w:rPr>
        <w:t xml:space="preserve">deklaracji właściwego organu odpowiedzialnego za gospodarkę wodną </w:t>
      </w:r>
      <w:r w:rsidR="008247F5" w:rsidRPr="00FD432B">
        <w:rPr>
          <w:rFonts w:ascii="Arial" w:eastAsia="Times New Roman" w:hAnsi="Arial" w:cs="Arial"/>
        </w:rPr>
        <w:t>jest organ właściwy w sprawie ocen wodnoprawny</w:t>
      </w:r>
      <w:r w:rsidR="00E76210">
        <w:rPr>
          <w:rFonts w:ascii="Arial" w:eastAsia="Times New Roman" w:hAnsi="Arial" w:cs="Arial"/>
        </w:rPr>
        <w:t>ch</w:t>
      </w:r>
      <w:r w:rsidR="008247F5" w:rsidRPr="00FD432B">
        <w:rPr>
          <w:rFonts w:ascii="Arial" w:eastAsia="Times New Roman" w:hAnsi="Arial" w:cs="Arial"/>
        </w:rPr>
        <w:t>. Organem właściwym do wydania</w:t>
      </w:r>
      <w:r w:rsidRPr="00FD432B">
        <w:rPr>
          <w:rFonts w:ascii="Arial" w:eastAsia="Times New Roman" w:hAnsi="Arial" w:cs="Arial"/>
          <w:i/>
        </w:rPr>
        <w:t xml:space="preserve"> deklaracji organu odpowiedzialnego za monitorowanie obszarów Natura 2000 </w:t>
      </w:r>
      <w:r w:rsidRPr="00FD432B">
        <w:rPr>
          <w:rFonts w:ascii="Arial" w:eastAsia="Times New Roman" w:hAnsi="Arial" w:cs="Arial"/>
        </w:rPr>
        <w:t>jest Regionalny Dyrektor Ochrony Środowiska w Rzeszowie.</w:t>
      </w:r>
      <w:r w:rsidRPr="00FD432B">
        <w:rPr>
          <w:rFonts w:ascii="Arial" w:eastAsia="Times New Roman" w:hAnsi="Arial" w:cs="Arial"/>
          <w:i/>
        </w:rPr>
        <w:t xml:space="preserve"> </w:t>
      </w:r>
      <w:r w:rsidRPr="00FD432B">
        <w:rPr>
          <w:rFonts w:ascii="Arial" w:eastAsia="Times New Roman" w:hAnsi="Arial" w:cs="Arial"/>
        </w:rPr>
        <w:t xml:space="preserve">Załącznikiem do </w:t>
      </w:r>
      <w:r w:rsidRPr="00FD432B">
        <w:rPr>
          <w:rFonts w:ascii="Arial" w:eastAsia="Times New Roman" w:hAnsi="Arial" w:cs="Arial"/>
          <w:i/>
        </w:rPr>
        <w:t xml:space="preserve">deklaracji organu odpowiedzialnego za monitorowanie obszarów Natura 2000 </w:t>
      </w:r>
      <w:r w:rsidRPr="00FD432B">
        <w:rPr>
          <w:rFonts w:ascii="Arial" w:eastAsia="Times New Roman" w:hAnsi="Arial" w:cs="Arial"/>
        </w:rPr>
        <w:t xml:space="preserve">jest mapa </w:t>
      </w:r>
      <w:r w:rsidRPr="00FD432B">
        <w:rPr>
          <w:rFonts w:ascii="Arial" w:eastAsia="Times New Roman" w:hAnsi="Arial" w:cs="Arial"/>
        </w:rPr>
        <w:br/>
        <w:t>w skali 1:100 000 (lub w skali najbardziej zbliżonej do wymienionej)  ze wskazaniem lokalizacji projektu oraz przedmiotowego obszaru Natura 2000, jeżeli taki istnieje.</w:t>
      </w:r>
      <w:r w:rsidRPr="00FD432B">
        <w:rPr>
          <w:rFonts w:ascii="Arial" w:eastAsia="Times New Roman" w:hAnsi="Arial" w:cs="Arial"/>
          <w:i/>
        </w:rPr>
        <w:t xml:space="preserv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Tekstprzypisudolnego"/>
        <w:jc w:val="both"/>
        <w:rPr>
          <w:rFonts w:ascii="Arial" w:hAnsi="Arial" w:cs="Arial"/>
          <w:sz w:val="22"/>
          <w:szCs w:val="22"/>
        </w:rPr>
      </w:pPr>
      <w:r w:rsidRPr="00FD432B">
        <w:rPr>
          <w:rFonts w:ascii="Arial" w:eastAsia="Times New Roman" w:hAnsi="Arial" w:cs="Arial"/>
          <w:sz w:val="22"/>
          <w:szCs w:val="22"/>
        </w:rPr>
        <w:t xml:space="preserve">Projekty w sektorze usług zbiorowego zaopatrzenia w wodę i zbiorowego odprowadzania ścieków komunalnych wymagają dołączenia do formularza wniosku wypełnionej </w:t>
      </w:r>
      <w:r w:rsidRPr="00FD432B">
        <w:rPr>
          <w:rFonts w:ascii="Arial" w:eastAsia="Times New Roman" w:hAnsi="Arial" w:cs="Arial"/>
          <w:i/>
          <w:sz w:val="22"/>
          <w:szCs w:val="22"/>
        </w:rPr>
        <w:t xml:space="preserve">Tabeli </w:t>
      </w:r>
      <w:r w:rsidRPr="00FD432B">
        <w:rPr>
          <w:rFonts w:ascii="Arial" w:hAnsi="Arial" w:cs="Arial"/>
          <w:i/>
          <w:sz w:val="22"/>
          <w:szCs w:val="22"/>
        </w:rPr>
        <w:t xml:space="preserve">dotyczącej </w:t>
      </w:r>
      <w:r w:rsidRPr="00FD432B">
        <w:rPr>
          <w:rFonts w:ascii="Arial" w:hAnsi="Arial" w:cs="Arial"/>
          <w:bCs/>
          <w:i/>
          <w:sz w:val="22"/>
          <w:szCs w:val="22"/>
        </w:rPr>
        <w:t>przestrzegania przez aglomeracje będące przedmiotem wniosku przepisów dyrektywy dotyczącej oczyszczania ścieków komunalnych</w:t>
      </w:r>
      <w:r w:rsidRPr="00FD432B">
        <w:rPr>
          <w:rFonts w:ascii="Arial" w:eastAsia="Times New Roman" w:hAnsi="Arial" w:cs="Arial"/>
          <w:i/>
          <w:sz w:val="22"/>
          <w:szCs w:val="22"/>
        </w:rPr>
        <w:t>.</w:t>
      </w:r>
    </w:p>
    <w:p w:rsidR="00580A84" w:rsidRPr="00FD432B" w:rsidRDefault="00580A84" w:rsidP="00FD432B">
      <w:pPr>
        <w:suppressAutoHyphens/>
        <w:spacing w:after="0" w:line="240" w:lineRule="auto"/>
        <w:jc w:val="both"/>
        <w:rPr>
          <w:rFonts w:ascii="Arial" w:eastAsia="Times New Roman" w:hAnsi="Arial" w:cs="Arial"/>
          <w:i/>
        </w:rPr>
      </w:pP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punkcie 1 należy zwięźle odnieść się do każdego z wymienionych zagadnień opisując</w:t>
      </w:r>
      <w:r w:rsidRPr="00FD432B">
        <w:rPr>
          <w:rFonts w:ascii="Arial" w:eastAsia="Times New Roman" w:hAnsi="Arial" w:cs="Arial"/>
        </w:rPr>
        <w:br/>
        <w:t>w jaki sposób realizacja projektu wpisuje się w unijne i krajowe polityki dotyczące ochrony środowiska i zrównoważonego rozwoju.</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jc w:val="both"/>
        <w:rPr>
          <w:rFonts w:ascii="Arial" w:hAnsi="Arial" w:cs="Arial"/>
          <w:b/>
        </w:rPr>
      </w:pPr>
      <w:r w:rsidRPr="00FD432B">
        <w:rPr>
          <w:rFonts w:ascii="Arial" w:hAnsi="Arial" w:cs="Arial"/>
          <w:b/>
        </w:rPr>
        <w:t>1.1.</w:t>
      </w:r>
    </w:p>
    <w:p w:rsidR="00580A84" w:rsidRPr="00FD432B" w:rsidRDefault="00580A84" w:rsidP="00FD432B">
      <w:pPr>
        <w:spacing w:after="0" w:line="240" w:lineRule="auto"/>
        <w:jc w:val="both"/>
        <w:rPr>
          <w:rFonts w:ascii="Arial" w:hAnsi="Arial" w:cs="Arial"/>
        </w:rPr>
      </w:pPr>
      <w:r w:rsidRPr="00FD432B">
        <w:rPr>
          <w:rFonts w:ascii="Arial" w:hAnsi="Arial" w:cs="Arial"/>
        </w:rPr>
        <w:t>Należy opisać w jaki sposób projekt przyczynia się do realizacji celów polityki ochrony środowiska, w tym, w zakresie dotyczącym zmian klimatu, opisanych we właściwych dokumentach strategicznych.</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jc w:val="both"/>
        <w:rPr>
          <w:rFonts w:ascii="Arial" w:hAnsi="Arial" w:cs="Arial"/>
          <w:b/>
        </w:rPr>
      </w:pPr>
      <w:r w:rsidRPr="00FD432B">
        <w:rPr>
          <w:rFonts w:ascii="Arial" w:hAnsi="Arial" w:cs="Arial"/>
          <w:b/>
        </w:rPr>
        <w:t xml:space="preserve">Uwagi pomocnicze w odniesieniu do aspektów klimatycznych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analizowanym punkcie w odniesieniu do aspektów związanych ze zmianami klimatu </w:t>
      </w:r>
      <w:r w:rsidRPr="00FD432B">
        <w:rPr>
          <w:rFonts w:ascii="Arial" w:hAnsi="Arial" w:cs="Arial"/>
        </w:rPr>
        <w:br/>
        <w:t xml:space="preserve">i klęskami żywiołowymi należy opisać, w jaki sposób projekt przyczynia się do realizacji celów polityki klimatycznej określonych w krajowych dokumentach strategicznych. Większość wymienionych dokumentów w odniesieniu do działań związanych z łagodzeniem zmian klimatu opiera się na ustaleniach oraz celach wynikających z pakietu energetyczno-klimatycznego. </w:t>
      </w:r>
    </w:p>
    <w:p w:rsidR="00580A84" w:rsidRPr="00FD432B" w:rsidRDefault="00580A84" w:rsidP="00FD432B">
      <w:pPr>
        <w:spacing w:after="0" w:line="240" w:lineRule="auto"/>
        <w:jc w:val="both"/>
        <w:rPr>
          <w:rFonts w:ascii="Arial" w:hAnsi="Arial" w:cs="Arial"/>
        </w:rPr>
      </w:pPr>
      <w:r w:rsidRPr="00FD432B">
        <w:rPr>
          <w:rFonts w:ascii="Arial" w:hAnsi="Arial" w:cs="Arial"/>
        </w:rPr>
        <w:lastRenderedPageBreak/>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t>
      </w:r>
      <w:r w:rsidRPr="00FD432B">
        <w:rPr>
          <w:rFonts w:ascii="Arial" w:hAnsi="Arial" w:cs="Arial"/>
        </w:rPr>
        <w:br/>
        <w:t>w obszarze adaptacji do zmian klimatu. Przykładowa lista dokumentów:</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Działania w zakresie energii ze źródeł odnawialnych (2010)</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Krajowy Plan Działań dotyczący efektywności energetycznej dla Polski (2014)</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Ocena ryzyka na potrzeby zarządzania kryzysowego. Raport o zagrożeniach bezpieczeństwa narodowego (2013)</w:t>
      </w:r>
    </w:p>
    <w:p w:rsidR="00580A84" w:rsidRPr="00FD432B" w:rsidRDefault="00580A84" w:rsidP="00FD432B">
      <w:pPr>
        <w:pStyle w:val="Akapitzlist"/>
        <w:numPr>
          <w:ilvl w:val="0"/>
          <w:numId w:val="7"/>
        </w:numPr>
        <w:spacing w:after="0"/>
        <w:contextualSpacing/>
        <w:rPr>
          <w:rFonts w:ascii="Arial" w:hAnsi="Arial" w:cs="Arial"/>
          <w:strike/>
          <w:sz w:val="22"/>
          <w:szCs w:val="22"/>
        </w:rPr>
      </w:pPr>
      <w:r w:rsidRPr="00FD432B">
        <w:rPr>
          <w:rFonts w:ascii="Arial" w:hAnsi="Arial" w:cs="Arial"/>
          <w:sz w:val="22"/>
          <w:szCs w:val="22"/>
        </w:rPr>
        <w:t>Polityka energetyczna Polski do 2030 roku (2009)</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Polityka klimatyczna Polski. Strategia redukcji emisji gazów cieplarnianych w Polsce do roku 2020 (2003)</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Strategia Bezpieczeństwo Energetyczne i Środowisko (2014)</w:t>
      </w:r>
    </w:p>
    <w:p w:rsidR="00580A84" w:rsidRPr="00FD432B" w:rsidRDefault="00580A84" w:rsidP="00FD432B">
      <w:pPr>
        <w:pStyle w:val="Akapitzlist"/>
        <w:numPr>
          <w:ilvl w:val="0"/>
          <w:numId w:val="7"/>
        </w:numPr>
        <w:spacing w:after="0"/>
        <w:contextualSpacing/>
        <w:rPr>
          <w:rFonts w:ascii="Arial" w:hAnsi="Arial" w:cs="Arial"/>
          <w:sz w:val="22"/>
          <w:szCs w:val="22"/>
        </w:rPr>
      </w:pPr>
      <w:r w:rsidRPr="00FD432B">
        <w:rPr>
          <w:rFonts w:ascii="Arial" w:hAnsi="Arial" w:cs="Arial"/>
          <w:sz w:val="22"/>
          <w:szCs w:val="22"/>
        </w:rPr>
        <w:t>Projekt Narodowego Programu Rozwoju Gospodarki Niskoemisyjnej (2015)</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Ponadto, szczegółowe informacje w tym zakresie zawiera dokument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dostępny na portalu KLIMADA.</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1.2.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wykazać, że projekt został przygotowany z zachowaniem zasad:</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ostrożności,</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działania zapobiegawczego (prewencji),</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naprawiania szkody w pierwszym rzędzie u źródła,</w:t>
      </w:r>
    </w:p>
    <w:p w:rsidR="00580A84" w:rsidRPr="00FD432B" w:rsidRDefault="00580A84" w:rsidP="00FD432B">
      <w:pPr>
        <w:numPr>
          <w:ilvl w:val="0"/>
          <w:numId w:val="6"/>
        </w:numPr>
        <w:suppressAutoHyphens/>
        <w:spacing w:after="0" w:line="240" w:lineRule="auto"/>
        <w:contextualSpacing/>
        <w:jc w:val="both"/>
        <w:rPr>
          <w:rFonts w:ascii="Arial" w:eastAsia="Times New Roman" w:hAnsi="Arial" w:cs="Arial"/>
        </w:rPr>
      </w:pPr>
      <w:r w:rsidRPr="00FD432B">
        <w:rPr>
          <w:rFonts w:ascii="Arial" w:eastAsia="Times New Roman" w:hAnsi="Arial" w:cs="Arial"/>
        </w:rPr>
        <w:t>zanieczyszczający płaci.</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 xml:space="preserve">Zasada przezorności (ostrożności)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zobowiązuje instytucję lub osobę, która zamierza podjąć określone działania, do udowodnienia, że jej działalność nie spowoduje zagrożenia dla środowiska. W przypadku, gdy wykazanie braku zagrożenia dla środowiska nie jest możliwe, konieczne jest podjęcie działań chroniących środowisko. </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stosowania działań zapobiegawczych (zasada prewencji)</w:t>
      </w:r>
      <w:r w:rsidRPr="00FD432B">
        <w:rPr>
          <w:rFonts w:ascii="Arial" w:hAnsi="Arial" w:cs="Arial"/>
          <w:sz w:val="22"/>
          <w:szCs w:val="22"/>
        </w:rPr>
        <w:t xml:space="preserve">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zakłada konieczność rozważenia potencjalnych skutków określonego działania </w:t>
      </w:r>
      <w:r w:rsidRPr="00FD432B">
        <w:rPr>
          <w:rFonts w:ascii="Arial" w:hAnsi="Arial" w:cs="Arial"/>
          <w:sz w:val="22"/>
          <w:szCs w:val="22"/>
        </w:rPr>
        <w:br/>
        <w:t>i podjęcia na podstawie tej analizy działań zapobiegawczych. Zasada prewencji znajduje potwierdzenie we wszystkich Programach Działania WE i ma priorytetowe znaczenie w wielu aktach prawnych dotyczących ochrony środowiska. Przykładem jej zastosowania są przepisy dotyczące oceny oddziaływania na środowisko przedsięwzięć oraz planów i programów.</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sz w:val="22"/>
          <w:szCs w:val="22"/>
        </w:rPr>
      </w:pPr>
      <w:r w:rsidRPr="00FD432B">
        <w:rPr>
          <w:rFonts w:ascii="Arial" w:hAnsi="Arial" w:cs="Arial"/>
          <w:b/>
          <w:bCs/>
          <w:sz w:val="22"/>
          <w:szCs w:val="22"/>
        </w:rPr>
        <w:t>Zasada naprawiania szkód przede wszystkim u źródła</w:t>
      </w:r>
      <w:r w:rsidRPr="00FD432B">
        <w:rPr>
          <w:rFonts w:ascii="Arial" w:hAnsi="Arial" w:cs="Arial"/>
          <w:sz w:val="22"/>
          <w:szCs w:val="22"/>
        </w:rPr>
        <w:t xml:space="preserve"> </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oznacza, że potencjalne szkody w środowisku, w tym przede wszystkim zanieczyszczenia powinny być usuwane na najwcześniejszym możliwym etapie, np. już </w:t>
      </w:r>
      <w:r w:rsidRPr="00FD432B">
        <w:rPr>
          <w:rFonts w:ascii="Arial" w:hAnsi="Arial" w:cs="Arial"/>
          <w:sz w:val="22"/>
          <w:szCs w:val="22"/>
        </w:rPr>
        <w:br/>
        <w:t xml:space="preserve">w początkowej fazie procesu produkcji, a nie po jego zakończeniu. Promuje więc ona rozwiązania polegające np. na stosowaniu technologii czystszej produkcji (powodującej mniej zanieczyszczeń, mniej materiało- i energochłonnej) zamiast technologii i rozwiązań, polegających na neutralizowaniu lub usuwaniu istniejących już zanieczyszczeń. </w:t>
      </w:r>
    </w:p>
    <w:p w:rsidR="00580A84" w:rsidRPr="00FD432B" w:rsidRDefault="00580A84" w:rsidP="00FD432B">
      <w:pPr>
        <w:pStyle w:val="tresc"/>
        <w:spacing w:before="0" w:beforeAutospacing="0" w:after="0" w:afterAutospacing="0"/>
        <w:rPr>
          <w:rFonts w:ascii="Arial" w:hAnsi="Arial" w:cs="Arial"/>
          <w:b/>
          <w:bCs/>
          <w:sz w:val="22"/>
          <w:szCs w:val="22"/>
        </w:rPr>
      </w:pPr>
    </w:p>
    <w:p w:rsidR="00580A84" w:rsidRPr="00FD432B" w:rsidRDefault="00580A84" w:rsidP="00FD432B">
      <w:pPr>
        <w:pStyle w:val="tresc"/>
        <w:spacing w:before="0" w:beforeAutospacing="0" w:after="0" w:afterAutospacing="0"/>
        <w:rPr>
          <w:rFonts w:ascii="Arial" w:hAnsi="Arial" w:cs="Arial"/>
          <w:b/>
          <w:bCs/>
          <w:sz w:val="22"/>
          <w:szCs w:val="22"/>
        </w:rPr>
      </w:pPr>
      <w:r w:rsidRPr="00FD432B">
        <w:rPr>
          <w:rFonts w:ascii="Arial" w:hAnsi="Arial" w:cs="Arial"/>
          <w:b/>
          <w:bCs/>
          <w:sz w:val="22"/>
          <w:szCs w:val="22"/>
        </w:rPr>
        <w:t>Zasada zanieczyszczający płaci</w:t>
      </w:r>
    </w:p>
    <w:p w:rsidR="00580A84" w:rsidRPr="00FD432B" w:rsidRDefault="00580A84" w:rsidP="00FD432B">
      <w:pPr>
        <w:pStyle w:val="tresc"/>
        <w:spacing w:before="0" w:beforeAutospacing="0" w:after="0" w:afterAutospacing="0"/>
        <w:jc w:val="both"/>
        <w:rPr>
          <w:rFonts w:ascii="Arial" w:hAnsi="Arial" w:cs="Arial"/>
          <w:sz w:val="22"/>
          <w:szCs w:val="22"/>
        </w:rPr>
      </w:pPr>
      <w:r w:rsidRPr="00FD432B">
        <w:rPr>
          <w:rFonts w:ascii="Arial" w:hAnsi="Arial" w:cs="Arial"/>
          <w:sz w:val="22"/>
          <w:szCs w:val="22"/>
        </w:rPr>
        <w:t xml:space="preserve">Zasada ta oznacza, że sprawcy szkód w środowisku powinni ponosić pełne koszty tych działań, które są niezbędne dla usunięcia zanieczyszczenia lub koszty równoważnych działań umożliwiających osiągnięcie celów ochrony środowiska. Zgodnie z tą zasadą, </w:t>
      </w:r>
      <w:r w:rsidRPr="00FD432B">
        <w:rPr>
          <w:rFonts w:ascii="Arial" w:hAnsi="Arial" w:cs="Arial"/>
          <w:sz w:val="22"/>
          <w:szCs w:val="22"/>
        </w:rPr>
        <w:lastRenderedPageBreak/>
        <w:t>prowadzący działalność, w tym użytkownicy obiektów infrastrukturalnych powinni partycypować zarówno w pokrywaniu kosztów zmniejszania emisji, jak i kosztów eksploatacji, konserwacji i wymiany elementów infrastruktury mającej wpływ na środowisko.</w:t>
      </w:r>
    </w:p>
    <w:p w:rsidR="00580A84" w:rsidRPr="00FD432B" w:rsidRDefault="00580A84" w:rsidP="00FD432B">
      <w:pPr>
        <w:spacing w:after="0" w:line="240" w:lineRule="auto"/>
        <w:jc w:val="both"/>
        <w:rPr>
          <w:rFonts w:ascii="Arial"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Zasady: ostrożności, działania zapobiegawczego, naprawiania szkody w pierwszym rzędzie u źródła i zanieczyszczający płaci, są ogólnymi zasadami wynikającymi z art. 191 ust 1 Traktatu o funkcjonowaniu Unii Europejskiej. </w:t>
      </w:r>
    </w:p>
    <w:p w:rsidR="00580A84" w:rsidRPr="00FD432B" w:rsidRDefault="00580A84" w:rsidP="00FD432B">
      <w:pPr>
        <w:spacing w:after="0" w:line="240" w:lineRule="auto"/>
        <w:rPr>
          <w:rFonts w:ascii="Arial"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2.</w:t>
      </w:r>
    </w:p>
    <w:p w:rsidR="00580A84" w:rsidRPr="00FD432B" w:rsidRDefault="00580A84" w:rsidP="00FD432B">
      <w:pPr>
        <w:spacing w:after="0" w:line="240" w:lineRule="auto"/>
        <w:jc w:val="both"/>
        <w:rPr>
          <w:rFonts w:ascii="Arial" w:eastAsia="Times New Roman" w:hAnsi="Arial" w:cs="Arial"/>
        </w:rPr>
      </w:pPr>
      <w:r w:rsidRPr="00FD432B">
        <w:rPr>
          <w:rFonts w:ascii="Arial" w:eastAsia="Times New Roman" w:hAnsi="Arial" w:cs="Arial"/>
        </w:rPr>
        <w:t>Należy określić czy dany projekt jest realizowany w wyniku planu lub programu innego niż RPO WP na lata 2014-2020 oraz czy ten plan/program podlegał strategicznej ocenie oddziaływania na środowisko. Przez plan lub program inny niż Regionalny Program Operacyjny Województwa Podkarpackiego należy rozumieć niebędący przedmiotowym programem, krajowy, regionalny lub inny dokument strategiczny opracowany dla właściwego sektora bądź zagadnienia, z którego postanowień wynika realizacja przedsięwzięcia.</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polu tekstowym należy wskazać konkretny plan/program, w wyniku którego projekt jest realizowany, w przeciwnym razie wpisać „nie dotyczy”.</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dokonać klasyfikacji projektu na podstawie analizy rodzajów przedsięwzięć wymienionych literalnie w § 2 i § 3 rozporządzenia OOŚ. W przypadku przedsięwzięcia polegającego na rozbudowie, przebudowie lub montażu należy wziąć pod uwagę kryteria określone przez  § 2 ust</w:t>
      </w:r>
      <w:r w:rsidR="007B3C4D" w:rsidRPr="00FD432B">
        <w:rPr>
          <w:rFonts w:ascii="Arial" w:eastAsia="Times New Roman" w:hAnsi="Arial" w:cs="Arial"/>
        </w:rPr>
        <w:t>.</w:t>
      </w:r>
      <w:r w:rsidRPr="00FD432B">
        <w:rPr>
          <w:rFonts w:ascii="Arial" w:eastAsia="Times New Roman" w:hAnsi="Arial" w:cs="Arial"/>
        </w:rPr>
        <w:t xml:space="preserve"> 2 oraz  § 3 ust. 2 rozporządzenia OOŚ. Do przedsięwzięć mogących potencjalnie znacząco oddziaływać na środowisko należą także przedsięwzięcia niezwiązane z przebudową, rozbudową lub montażem, o ile spełniają kryteria określone </w:t>
      </w:r>
      <w:r w:rsidRPr="00FD432B">
        <w:rPr>
          <w:rFonts w:ascii="Arial" w:eastAsia="Times New Roman" w:hAnsi="Arial" w:cs="Arial"/>
        </w:rPr>
        <w:br/>
        <w:t xml:space="preserve">w  § 3 ust. 3 rozporządzenia OOŚ. Przy kwalifikacji projektu należy uwzględnić faktyczny zakres przedsięwzięcia, bez względu na to jak projekt został zatytułowany. Kwalifikacji projektu należy dokonać biorąc pod uwagę </w:t>
      </w:r>
      <w:r w:rsidRPr="00FD432B">
        <w:rPr>
          <w:rFonts w:ascii="Arial" w:eastAsia="Times New Roman" w:hAnsi="Arial" w:cs="Arial"/>
          <w:u w:val="single"/>
        </w:rPr>
        <w:t>wszystkie zamierzenia</w:t>
      </w:r>
      <w:r w:rsidRPr="00FD432B">
        <w:rPr>
          <w:rFonts w:ascii="Arial" w:eastAsia="Times New Roman" w:hAnsi="Arial" w:cs="Arial"/>
        </w:rPr>
        <w:t xml:space="preserve"> powiązane funkcjonalnie </w:t>
      </w:r>
      <w:r w:rsidRPr="00FD432B">
        <w:rPr>
          <w:rFonts w:ascii="Arial" w:eastAsia="Times New Roman" w:hAnsi="Arial" w:cs="Arial"/>
        </w:rPr>
        <w:br/>
        <w:t xml:space="preserve">i technologicznie z realizacją wnioskowanego projektu, </w:t>
      </w:r>
      <w:r w:rsidRPr="00FD432B">
        <w:rPr>
          <w:rFonts w:ascii="Arial" w:eastAsia="Times New Roman" w:hAnsi="Arial" w:cs="Arial"/>
          <w:u w:val="single"/>
        </w:rPr>
        <w:t>w tym także finansowane z innych środków</w:t>
      </w:r>
      <w:r w:rsidRPr="00FD432B">
        <w:rPr>
          <w:rFonts w:ascii="Arial" w:eastAsia="Times New Roman" w:hAnsi="Arial" w:cs="Arial"/>
        </w:rPr>
        <w:t xml:space="preserve"> niż RPO WP na lata 2014-2020.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w:t>
      </w:r>
    </w:p>
    <w:p w:rsidR="00580A84" w:rsidRPr="00FD432B" w:rsidRDefault="00580A84" w:rsidP="00FD432B">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 xml:space="preserve">załączyć streszczenie w języku niespecjalistycznym raportu OOŚ, o którym mowa </w:t>
      </w:r>
      <w:r w:rsidRPr="00FD432B">
        <w:rPr>
          <w:rFonts w:ascii="Arial" w:eastAsia="Times New Roman" w:hAnsi="Arial" w:cs="Arial"/>
        </w:rPr>
        <w:br/>
        <w:t xml:space="preserve">w art. 66 ust. 1 pkt 18 ustawy OOŚ (jeśli informacje zawarte w streszczeniu nie będą odpowiadać każdemu rozdziałowi raportu OOŚ należy załączyć cały raport OOŚ). </w:t>
      </w:r>
      <w:r w:rsidRPr="00FD432B">
        <w:rPr>
          <w:rFonts w:ascii="Arial" w:eastAsia="Times New Roman" w:hAnsi="Arial" w:cs="Arial"/>
        </w:rPr>
        <w:br/>
        <w:t xml:space="preserve">W przypadku, gdy w raporcie była przeprowadzona ocena zgodnie z art. 6.3 </w:t>
      </w:r>
      <w:r w:rsidRPr="00FD432B">
        <w:rPr>
          <w:rFonts w:ascii="Arial" w:eastAsia="Times New Roman" w:hAnsi="Arial" w:cs="Arial"/>
          <w:i/>
        </w:rPr>
        <w:t>Dyrektywy Siedliskowe</w:t>
      </w:r>
      <w:r w:rsidRPr="00FD432B">
        <w:rPr>
          <w:rFonts w:ascii="Arial" w:eastAsia="Times New Roman" w:hAnsi="Arial" w:cs="Arial"/>
        </w:rPr>
        <w:t xml:space="preserve">j należy załączyć pełną wersję raportu, lub rozdziały raportu związane z oceną wskazaną w art. 6.3 </w:t>
      </w:r>
      <w:r w:rsidRPr="00FD432B">
        <w:rPr>
          <w:rFonts w:ascii="Arial" w:eastAsia="Times New Roman" w:hAnsi="Arial" w:cs="Arial"/>
          <w:i/>
        </w:rPr>
        <w:t>Dyrektywy Siedliskowej</w:t>
      </w:r>
      <w:r w:rsidRPr="00FD432B">
        <w:rPr>
          <w:rFonts w:ascii="Arial" w:eastAsia="Times New Roman" w:hAnsi="Arial" w:cs="Arial"/>
        </w:rPr>
        <w:t xml:space="preserve"> zgodnie z pkt. 4.2.,</w:t>
      </w:r>
    </w:p>
    <w:p w:rsidR="00580A84" w:rsidRPr="00FD432B" w:rsidRDefault="00580A84" w:rsidP="00FD432B">
      <w:pPr>
        <w:numPr>
          <w:ilvl w:val="0"/>
          <w:numId w:val="4"/>
        </w:numPr>
        <w:suppressAutoHyphens/>
        <w:spacing w:after="0" w:line="240" w:lineRule="auto"/>
        <w:jc w:val="both"/>
        <w:rPr>
          <w:rFonts w:ascii="Arial" w:eastAsia="Times New Roman" w:hAnsi="Arial" w:cs="Arial"/>
        </w:rPr>
      </w:pPr>
      <w:r w:rsidRPr="00FD432B">
        <w:rPr>
          <w:rFonts w:ascii="Arial" w:eastAsia="Times New Roman" w:hAnsi="Arial" w:cs="Arial"/>
        </w:rPr>
        <w:t>przedstawić informacje dotyczące konsultacji z organami ochrony środowiska, konsultacji ze społeczeństwem oraz informacje na temat transgranicznej OOŚ. Zasadniczo wystarczającym źródłem powyższych informacji powinno być uzasadnienie decyzji o środowiskowych uwarunkowaniach i wystarczające jest jej wskazanie (w przypadku ponownej oceny również decyzji, o których mowa w art. 88 ust. 1 ustawy OOŚ). W przypadku gdy uzasadnienia ww. decyzji nie zawierają właściwych informacji dotyczących konsultacji z organami ochrony środowiska, ze społeczeństwem oraz informacji na temat transgranicznej OOŚ należy załączyć stosowną dokumentację w tym zakresie,</w:t>
      </w:r>
    </w:p>
    <w:p w:rsidR="00580A84" w:rsidRPr="00FD432B" w:rsidRDefault="00580A84" w:rsidP="00FD432B">
      <w:pPr>
        <w:numPr>
          <w:ilvl w:val="0"/>
          <w:numId w:val="4"/>
        </w:numPr>
        <w:suppressAutoHyphens/>
        <w:spacing w:after="0" w:line="240" w:lineRule="auto"/>
        <w:jc w:val="both"/>
        <w:rPr>
          <w:rFonts w:ascii="Arial" w:eastAsia="Times New Roman" w:hAnsi="Arial" w:cs="Arial"/>
          <w:b/>
          <w:i/>
        </w:rPr>
      </w:pPr>
      <w:r w:rsidRPr="00FD432B">
        <w:rPr>
          <w:rFonts w:ascii="Arial" w:eastAsia="Times New Roman" w:hAnsi="Arial" w:cs="Arial"/>
        </w:rPr>
        <w:t xml:space="preserve">załączyć decyzję o środowiskowych uwarunkowaniach oraz właściwą w sprawie decyzję wskazaną w art. 72 ust. 1 ustawy OOŚ, wraz z informacją potwierdzającą ich poprawne podanie do publicznej wiadomości (dotyczy postępowania związanego </w:t>
      </w:r>
      <w:r w:rsidRPr="00FD432B">
        <w:rPr>
          <w:rFonts w:ascii="Arial" w:eastAsia="Times New Roman" w:hAnsi="Arial" w:cs="Arial"/>
        </w:rPr>
        <w:br/>
        <w:t>z wydaniem decyzji o środowiskowych uwarunkowaniach, postępowania gdzie przeprowadzono ponowną ocenę lub ocenę na obszary Natura 2000). Przedmiotowa informacja może być przedstawiona w formie oświadczenia</w:t>
      </w:r>
      <w:r w:rsidRPr="00FD432B">
        <w:rPr>
          <w:rFonts w:ascii="Arial" w:hAnsi="Arial" w:cs="Arial"/>
        </w:rPr>
        <w:t xml:space="preserve"> albo innej potwierdzającej wykonanie przez organ obowiązku podania rozstrzygnięcia do publicznej wiadomości, o którym mowa w art. 38, art. 85 ust. 3 i art. 95 ust. 3 ustawy OOŚ. </w:t>
      </w:r>
      <w:r w:rsidRPr="00FD432B">
        <w:rPr>
          <w:rFonts w:ascii="Arial" w:eastAsia="Times New Roman" w:hAnsi="Arial" w:cs="Arial"/>
        </w:rPr>
        <w:t xml:space="preserve">Niezależnie od powyższego, niezbędne jest dołączenie kompletu dokumentów wymienionych </w:t>
      </w:r>
      <w:r w:rsidRPr="00FD432B">
        <w:rPr>
          <w:rFonts w:ascii="Arial" w:eastAsia="Times New Roman" w:hAnsi="Arial" w:cs="Arial"/>
        </w:rPr>
        <w:br/>
        <w:t xml:space="preserve">w </w:t>
      </w:r>
      <w:r w:rsidRPr="00FD432B">
        <w:rPr>
          <w:rFonts w:ascii="Arial" w:eastAsia="Times New Roman" w:hAnsi="Arial" w:cs="Arial"/>
          <w:i/>
        </w:rPr>
        <w:t>„Liście sprawdzającej w zakresie dokumentacji dotyczącej ocen oddziaływania na środowisko dla instytucji oceniających wnioski o dofinansowanie”.</w:t>
      </w:r>
    </w:p>
    <w:p w:rsidR="00580A84" w:rsidRPr="00FD432B" w:rsidRDefault="00580A84" w:rsidP="00FD432B">
      <w:pPr>
        <w:suppressAutoHyphens/>
        <w:spacing w:after="0" w:line="240" w:lineRule="auto"/>
        <w:jc w:val="both"/>
        <w:rPr>
          <w:rFonts w:ascii="Arial" w:eastAsia="Times New Roman" w:hAnsi="Arial" w:cs="Arial"/>
          <w:b/>
          <w:i/>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3.3.</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odpowiedzieć na pytanie, czy dla przedsięwzięcia objętego rodzajem wskazanym </w:t>
      </w:r>
      <w:r w:rsidRPr="00FD432B">
        <w:rPr>
          <w:rFonts w:ascii="Arial" w:eastAsia="Times New Roman" w:hAnsi="Arial" w:cs="Arial"/>
        </w:rPr>
        <w:br/>
        <w:t>w § 3 rozporządzenia OOŚ zostało przeprowadzone postępowanie w sprawie oceny oddziaływania na środowisko (w toku postępowania wydano postanowienie o obowiązku przeprowadzenia oceny oddziaływania przedsięwzięcia na środowisko). W przypadku, gdy takie postępowanie:</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zostało przeprowadzone – należy zaznaczyć kwadrat TAK oraz dołączyć stosowne dokumenty wskazane w punkcie 3.2.,</w:t>
      </w:r>
    </w:p>
    <w:p w:rsidR="00580A84" w:rsidRPr="00FD432B" w:rsidRDefault="00580A84" w:rsidP="00FD432B">
      <w:pPr>
        <w:numPr>
          <w:ilvl w:val="0"/>
          <w:numId w:val="1"/>
        </w:numPr>
        <w:suppressAutoHyphens/>
        <w:spacing w:after="0" w:line="240" w:lineRule="auto"/>
        <w:ind w:left="567" w:hanging="283"/>
        <w:jc w:val="both"/>
        <w:rPr>
          <w:rFonts w:ascii="Arial" w:eastAsia="Times New Roman" w:hAnsi="Arial" w:cs="Arial"/>
        </w:rPr>
      </w:pPr>
      <w:r w:rsidRPr="00FD432B">
        <w:rPr>
          <w:rFonts w:ascii="Arial" w:eastAsia="Times New Roman" w:hAnsi="Arial" w:cs="Arial"/>
        </w:rPr>
        <w:t xml:space="preserve">nie zostało przeprowadzone – należy zaznaczyć kwadrat NIE, podać wyjaśnienie oraz dołączyć stosowne dokumenty wskazane w podpunktach a, b i c pkt 3.3. oraz </w:t>
      </w:r>
      <w:r w:rsidRPr="00FD432B">
        <w:rPr>
          <w:rFonts w:ascii="Arial" w:hAnsi="Arial" w:cs="Arial"/>
        </w:rPr>
        <w:t>decyzję właściwego organu wydaną zgodnie z art. 8 i 9 dyrektywy OOŚ, w tym informacje dotyczące sposobu podania jej do wiadomości publicznej.</w:t>
      </w:r>
    </w:p>
    <w:p w:rsidR="00FD432B" w:rsidRDefault="00FD432B"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Przez „decyzję dotyczącą preselekcji” lub „decyzję screeningową” należy rozumieć postanowienie o braku konieczności przeprowadzenia oceny oddziaływania na środowisko.</w:t>
      </w:r>
    </w:p>
    <w:p w:rsidR="00580A84" w:rsidRPr="00FD432B" w:rsidRDefault="00580A84" w:rsidP="00FD432B">
      <w:pPr>
        <w:suppressAutoHyphens/>
        <w:spacing w:after="0" w:line="240" w:lineRule="auto"/>
        <w:jc w:val="both"/>
        <w:rPr>
          <w:rFonts w:ascii="Arial" w:eastAsia="Times New Roman" w:hAnsi="Arial" w:cs="Arial"/>
          <w:b/>
          <w:i/>
        </w:rPr>
      </w:pPr>
      <w:r w:rsidRPr="00FD432B">
        <w:rPr>
          <w:rFonts w:ascii="Arial" w:eastAsia="Times New Roman" w:hAnsi="Arial" w:cs="Arial"/>
        </w:rPr>
        <w:t xml:space="preserve">Niezależnie od powyższego, niezbędne jest dołączenie kompletu dokumentów wymienionych w </w:t>
      </w:r>
      <w:r w:rsidRPr="00FD432B">
        <w:rPr>
          <w:rFonts w:ascii="Arial" w:eastAsia="Times New Roman" w:hAnsi="Arial" w:cs="Arial"/>
          <w:i/>
        </w:rPr>
        <w:t>„Liście sprawdzającej w zakresie dokumentacji dotyczącej ocen oddziaływania na środowisko dla instytucji oceniających wnioski o dofinansowanie”.</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3.4.1. i 3.4.2.</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Przez „zezwolenie na inwestycję” (w rozumieniu dyrektywy OOŚ) należy rozumieć zbiór niezbędnych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580A84" w:rsidRPr="00FD432B" w:rsidRDefault="00580A84" w:rsidP="00FD432B">
      <w:pPr>
        <w:spacing w:after="0" w:line="240" w:lineRule="auto"/>
        <w:jc w:val="both"/>
        <w:rPr>
          <w:rFonts w:ascii="Arial" w:hAnsi="Arial" w:cs="Arial"/>
        </w:rPr>
      </w:pPr>
      <w:r w:rsidRPr="00FD432B">
        <w:rPr>
          <w:rFonts w:ascii="Arial" w:hAnsi="Arial" w:cs="Arial"/>
        </w:rPr>
        <w:t>Jednakże według stanowiska Komisji Europejskiej (wyrażonego w piśmie z 20.10.2009 r. znak: DG REGIO.H1/MT/spD(2009) 880600), które można zastosować również do projektów realizowanych w obecnej perspektywie pojęcie „zezwolenie na inwestycję” należy interpretować jako instrument dla sprawdzenia gotowości projektu do ubiegania się o dofinansowanie (niezależnie od tego czy ocena oddziaływania na środowisko była prowadzona, czy też nie).</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hAnsi="Arial" w:cs="Arial"/>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w:t>
      </w:r>
      <w:r w:rsidRPr="00FD432B">
        <w:rPr>
          <w:rFonts w:ascii="Arial" w:hAnsi="Arial" w:cs="Arial"/>
        </w:rPr>
        <w:br/>
        <w:t xml:space="preserve">o zgłoszenie robót budowlanych w trybie art. 30 ustawy Prawo budowlane.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niektórych sytuacjach „zezwoleniem na inwestycję” może być także decyzja </w:t>
      </w:r>
      <w:r w:rsidRPr="00FD432B">
        <w:rPr>
          <w:rFonts w:ascii="Arial" w:eastAsia="Times New Roman" w:hAnsi="Arial" w:cs="Arial"/>
        </w:rPr>
        <w:br/>
        <w:t>o środowiskowych uwarunkowaniach.</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uproszczenia, w dalszej części niniejszej </w:t>
      </w:r>
      <w:r w:rsidRPr="00FD432B">
        <w:rPr>
          <w:rFonts w:ascii="Arial" w:eastAsia="Times New Roman" w:hAnsi="Arial" w:cs="Arial"/>
          <w:i/>
        </w:rPr>
        <w:t>Instrukcji</w:t>
      </w:r>
      <w:r w:rsidRPr="00FD432B">
        <w:rPr>
          <w:rFonts w:ascii="Arial" w:eastAsia="Times New Roman" w:hAnsi="Arial" w:cs="Arial"/>
        </w:rPr>
        <w:t xml:space="preserve"> pod pojęciem „decyzja budowlana” należy rozumieć decyzje wymienione w art. 72 ust. 1 lub zgłoszenie wymienione w art. 72 ust. 1a ustawy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punkcie </w:t>
      </w:r>
      <w:r w:rsidRPr="00FD432B">
        <w:rPr>
          <w:rFonts w:ascii="Arial" w:eastAsia="Times New Roman" w:hAnsi="Arial" w:cs="Arial"/>
          <w:b/>
        </w:rPr>
        <w:t>3.4.1.</w:t>
      </w:r>
      <w:r w:rsidRPr="00FD432B">
        <w:rPr>
          <w:rFonts w:ascii="Arial" w:eastAsia="Times New Roman" w:hAnsi="Arial" w:cs="Arial"/>
        </w:rPr>
        <w:t xml:space="preserve"> oraz </w:t>
      </w:r>
      <w:r w:rsidRPr="00FD432B">
        <w:rPr>
          <w:rFonts w:ascii="Arial" w:eastAsia="Times New Roman" w:hAnsi="Arial" w:cs="Arial"/>
          <w:b/>
        </w:rPr>
        <w:t>3.4.2.</w:t>
      </w:r>
      <w:r w:rsidRPr="00FD432B">
        <w:rPr>
          <w:rFonts w:ascii="Arial" w:eastAsia="Times New Roman" w:hAnsi="Arial" w:cs="Arial"/>
        </w:rPr>
        <w:t xml:space="preserve"> oczekuje się informacji potwierdzającej, że w przypadku rozpoczęcia robót budowlanych poprzedzone one zostały stosowną procedurą zezwolenia na inwestycję.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UWAGA: w punkcie </w:t>
      </w:r>
      <w:r w:rsidRPr="00FD432B">
        <w:rPr>
          <w:rFonts w:ascii="Arial" w:eastAsia="Times New Roman" w:hAnsi="Arial" w:cs="Arial"/>
          <w:b/>
        </w:rPr>
        <w:t>3.4.1</w:t>
      </w:r>
      <w:r w:rsidRPr="00FD432B">
        <w:rPr>
          <w:rFonts w:ascii="Arial" w:eastAsia="Times New Roman" w:hAnsi="Arial" w:cs="Arial"/>
        </w:rPr>
        <w:t xml:space="preserve"> poprzez „co najmniej jedno zamówienie na roboty budowlane” rozumie się podpisaną umowę na roboty budowlane, w ramach której rozpoczęto realizację robót budowlanych. </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zgłoszenia robót budowlanych wniosek wypełnia się analogicznie.</w:t>
      </w:r>
    </w:p>
    <w:p w:rsidR="00580A84" w:rsidRPr="00FD432B" w:rsidRDefault="00580A84" w:rsidP="00FD432B">
      <w:pPr>
        <w:suppressAutoHyphens/>
        <w:spacing w:after="0" w:line="240" w:lineRule="auto"/>
        <w:jc w:val="both"/>
        <w:rPr>
          <w:rFonts w:ascii="Arial" w:eastAsia="Times New Roman" w:hAnsi="Arial" w:cs="Arial"/>
          <w:b/>
          <w:lang w:eastAsia="en-GB"/>
        </w:rPr>
      </w:pPr>
    </w:p>
    <w:p w:rsidR="00580A84" w:rsidRPr="00FD432B" w:rsidRDefault="00580A84" w:rsidP="00FD432B">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3.4.3.</w:t>
      </w: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Należy wymienić uzyskane decyzje budowlane wskazując jednocześnie datę wydania, sygnaturę, organ wydający oraz przedmiot decyzji. W przypadku gdy roboty budowlane są realizowane na podstawie zgłoszenia należy podać datę zgłoszenia (tj. datę wpływu do organu), właściwy organ oraz datę upływu terminu na zgłoszenie sprzeciwu przez organ.</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3.4.4.</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podać daty wniosków oraz wskazać organy, do których złożono wnioski o zezwolenie na inwestycję/datę decyzji budowlanej.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3.4.5.</w:t>
      </w:r>
    </w:p>
    <w:p w:rsidR="00580A84" w:rsidRPr="00FD432B" w:rsidRDefault="00580A84" w:rsidP="00FD432B">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Należy wskazać dotychczas uzyskane decyzje o środowiskowych uwarunkowaniach oraz określić obecnie realizowany etap procesu przygotowania dokumentacji do wniosku lub obecny etap procesu uzyskiwania zezwoleń na inwestycję/decyzji budowlanych.</w:t>
      </w: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lang w:eastAsia="en-GB"/>
        </w:rPr>
        <w:t>Wskazać należy czynności administracyjne niezbędne do wykonania w celu uzyskania ostatecznej decyzji budowlanej (lub ostatecznych decyzji budowlanych).</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3.4.6.</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Należy podać przewidywane daty uzyskania decyzji budowlanych oraz daty upływu terminu wniesienia sprzeciwu przez organ, któremu zgłoszono roboty budowlane w rozumieniu art. 30 Prawa budowlanego (zgodnie z przyjętym harmonogramem dla projektu). Należy zwrócić uwagę na spójność prezentowanych danych z pozostałą częścią wniosku.</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Jeżeli w punkcie 3.4.1. i 3.4.2.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3.4.7.</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Należy wskazać organ, który wyda/wydał zezwolenia na inwestycje/decyzje budowlane, lub do którego dokonano zgłoszenia robót budowlanych.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4.</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Punk</w:t>
      </w:r>
      <w:r w:rsidR="008550BB" w:rsidRPr="00FD432B">
        <w:rPr>
          <w:rFonts w:ascii="Arial" w:eastAsia="Times New Roman" w:hAnsi="Arial" w:cs="Arial"/>
        </w:rPr>
        <w:t xml:space="preserve">t 4 dotyczy obszarów, które </w:t>
      </w:r>
      <w:r w:rsidRPr="00FD432B">
        <w:rPr>
          <w:rFonts w:ascii="Arial" w:eastAsia="Times New Roman" w:hAnsi="Arial" w:cs="Arial"/>
        </w:rPr>
        <w:t>zo</w:t>
      </w:r>
      <w:r w:rsidR="008550BB" w:rsidRPr="00FD432B">
        <w:rPr>
          <w:rFonts w:ascii="Arial" w:eastAsia="Times New Roman" w:hAnsi="Arial" w:cs="Arial"/>
        </w:rPr>
        <w:t>stały objęte siecią Natura 2000</w:t>
      </w:r>
      <w:r w:rsidRPr="00FD432B">
        <w:rPr>
          <w:rFonts w:ascii="Arial" w:eastAsia="Times New Roman" w:hAnsi="Arial" w:cs="Arial"/>
        </w:rPr>
        <w:t>. Należy podkreślić, że oddziaływanie na ww. obszary może mieć projekt realizowany nie tylko w obrębie tego obszaru, ale również poza nim.</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Akapitzlist"/>
        <w:numPr>
          <w:ilvl w:val="0"/>
          <w:numId w:val="13"/>
        </w:numPr>
        <w:spacing w:after="0"/>
        <w:ind w:left="567" w:hanging="567"/>
        <w:contextualSpacing/>
        <w:rPr>
          <w:rFonts w:ascii="Arial" w:hAnsi="Arial" w:cs="Arial"/>
          <w:sz w:val="22"/>
          <w:szCs w:val="22"/>
        </w:rPr>
      </w:pPr>
      <w:r w:rsidRPr="00FD432B">
        <w:rPr>
          <w:rFonts w:ascii="Arial" w:hAnsi="Arial" w:cs="Arial"/>
          <w:sz w:val="22"/>
          <w:szCs w:val="22"/>
        </w:rPr>
        <w:t xml:space="preserve">Beneficjent zaznacza odpowiedź „NIE” tylko w przypadku gdy nie istniało lub nie istnieje prawdopodobieństwo, że projekt może znacząco oddziaływać na obszary Natura 2000 i nie uznano w związku z tym za konieczne przeprowadzenie oceny oddziaływania na obszary Natura 2000. </w:t>
      </w:r>
      <w:r w:rsidRPr="00FD432B">
        <w:rPr>
          <w:rFonts w:ascii="Arial" w:hAnsi="Arial" w:cs="Arial"/>
          <w:bCs/>
          <w:sz w:val="22"/>
          <w:szCs w:val="22"/>
        </w:rPr>
        <w:t xml:space="preserve">Wymóg dołączenia </w:t>
      </w:r>
      <w:r w:rsidRPr="00FD432B">
        <w:rPr>
          <w:rFonts w:ascii="Arial" w:hAnsi="Arial" w:cs="Arial"/>
          <w:bCs/>
          <w:i/>
          <w:sz w:val="22"/>
          <w:szCs w:val="22"/>
        </w:rPr>
        <w:t>deklaracji</w:t>
      </w:r>
      <w:r w:rsidRPr="00FD432B">
        <w:rPr>
          <w:rFonts w:ascii="Arial" w:hAnsi="Arial" w:cs="Arial"/>
          <w:bCs/>
          <w:sz w:val="22"/>
          <w:szCs w:val="22"/>
        </w:rPr>
        <w:t xml:space="preserve"> dotyczy następujących rodzajów projektów: </w:t>
      </w:r>
    </w:p>
    <w:p w:rsidR="00580A84" w:rsidRPr="00FD432B" w:rsidRDefault="00580A84" w:rsidP="00FD432B">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 postępowaniu zmierzającym do wydania decyzji o środowiskowych uwarunkowaniach </w:t>
      </w:r>
      <w:r w:rsidRPr="00FD432B">
        <w:rPr>
          <w:rFonts w:ascii="Arial" w:hAnsi="Arial" w:cs="Arial"/>
          <w:sz w:val="22"/>
          <w:szCs w:val="22"/>
          <w:u w:val="single"/>
        </w:rPr>
        <w:t>nie analizowano wpływu projektu na obszary Natura 2000,</w:t>
      </w:r>
    </w:p>
    <w:p w:rsidR="00580A84" w:rsidRPr="0062487C" w:rsidRDefault="00580A84" w:rsidP="00FD432B">
      <w:pPr>
        <w:pStyle w:val="Akapitzlist"/>
        <w:numPr>
          <w:ilvl w:val="0"/>
          <w:numId w:val="14"/>
        </w:numPr>
        <w:spacing w:after="0"/>
        <w:ind w:left="1134" w:hanging="425"/>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o którym mowa w art. 72 ust. 1a ustawy OOŚ), </w:t>
      </w:r>
      <w:r w:rsidRPr="00FD432B">
        <w:rPr>
          <w:rFonts w:ascii="Arial" w:hAnsi="Arial" w:cs="Arial"/>
          <w:bCs/>
          <w:sz w:val="22"/>
          <w:szCs w:val="22"/>
          <w:u w:val="single"/>
        </w:rPr>
        <w:t>gdy zakres tych projektów oraz ich lokalizacja wskazują na możliwość potencjalnie znaczącego oddzia</w:t>
      </w:r>
      <w:r w:rsidR="0062487C">
        <w:rPr>
          <w:rFonts w:ascii="Arial" w:hAnsi="Arial" w:cs="Arial"/>
          <w:bCs/>
          <w:sz w:val="22"/>
          <w:szCs w:val="22"/>
          <w:u w:val="single"/>
        </w:rPr>
        <w:t>ływania na obszary Natura 2000</w:t>
      </w:r>
      <w:r w:rsidR="00934B3A">
        <w:rPr>
          <w:rFonts w:ascii="Arial" w:hAnsi="Arial" w:cs="Arial"/>
          <w:bCs/>
          <w:sz w:val="22"/>
          <w:szCs w:val="22"/>
          <w:u w:val="single"/>
        </w:rPr>
        <w:t>;</w:t>
      </w:r>
    </w:p>
    <w:p w:rsidR="0062487C" w:rsidRPr="00FD432B" w:rsidRDefault="0062487C" w:rsidP="00FD432B">
      <w:pPr>
        <w:pStyle w:val="Akapitzlist"/>
        <w:numPr>
          <w:ilvl w:val="0"/>
          <w:numId w:val="14"/>
        </w:numPr>
        <w:spacing w:after="0"/>
        <w:ind w:left="1134" w:hanging="425"/>
        <w:contextualSpacing/>
        <w:rPr>
          <w:rFonts w:ascii="Arial" w:hAnsi="Arial" w:cs="Arial"/>
          <w:sz w:val="22"/>
          <w:szCs w:val="22"/>
          <w:u w:val="single"/>
        </w:rPr>
      </w:pPr>
      <w:r w:rsidRPr="0062487C">
        <w:rPr>
          <w:rFonts w:ascii="Arial" w:hAnsi="Arial" w:cs="Arial"/>
          <w:sz w:val="22"/>
          <w:szCs w:val="22"/>
        </w:rPr>
        <w:t>o charakterze termomodernizacyjnym</w:t>
      </w:r>
      <w:r>
        <w:rPr>
          <w:rFonts w:ascii="Arial" w:hAnsi="Arial" w:cs="Arial"/>
          <w:sz w:val="22"/>
          <w:szCs w:val="22"/>
        </w:rPr>
        <w:t xml:space="preserve"> </w:t>
      </w:r>
      <w:r w:rsidR="000B2D83">
        <w:rPr>
          <w:rFonts w:ascii="Arial" w:hAnsi="Arial" w:cs="Arial"/>
          <w:sz w:val="22"/>
          <w:szCs w:val="22"/>
        </w:rPr>
        <w:t>dotyczących</w:t>
      </w:r>
      <w:r w:rsidR="0038520C">
        <w:rPr>
          <w:rFonts w:ascii="Arial" w:hAnsi="Arial" w:cs="Arial"/>
          <w:sz w:val="22"/>
          <w:szCs w:val="22"/>
        </w:rPr>
        <w:t xml:space="preserve"> </w:t>
      </w:r>
      <w:r>
        <w:rPr>
          <w:rFonts w:ascii="Arial" w:hAnsi="Arial" w:cs="Arial"/>
          <w:sz w:val="22"/>
          <w:szCs w:val="22"/>
        </w:rPr>
        <w:t xml:space="preserve">obiektów </w:t>
      </w:r>
      <w:r w:rsidRPr="0062487C">
        <w:rPr>
          <w:rFonts w:ascii="Arial" w:hAnsi="Arial" w:cs="Arial"/>
          <w:sz w:val="22"/>
          <w:szCs w:val="22"/>
        </w:rPr>
        <w:t xml:space="preserve">zlokalizowanych </w:t>
      </w:r>
      <w:r w:rsidR="007817EC">
        <w:rPr>
          <w:rFonts w:ascii="Arial" w:hAnsi="Arial" w:cs="Arial"/>
          <w:sz w:val="22"/>
          <w:szCs w:val="22"/>
        </w:rPr>
        <w:br/>
      </w:r>
      <w:r>
        <w:rPr>
          <w:rFonts w:ascii="Arial" w:hAnsi="Arial" w:cs="Arial"/>
          <w:sz w:val="22"/>
          <w:szCs w:val="22"/>
        </w:rPr>
        <w:t>w obszarze</w:t>
      </w:r>
      <w:r w:rsidRPr="0062487C">
        <w:rPr>
          <w:rFonts w:ascii="Arial" w:hAnsi="Arial" w:cs="Arial"/>
          <w:sz w:val="22"/>
          <w:szCs w:val="22"/>
        </w:rPr>
        <w:t xml:space="preserve"> Natura 2000.</w:t>
      </w:r>
    </w:p>
    <w:p w:rsidR="00FD432B" w:rsidRPr="00FD432B" w:rsidRDefault="00FD432B" w:rsidP="00FD432B">
      <w:pPr>
        <w:spacing w:after="0"/>
        <w:ind w:left="709"/>
        <w:contextualSpacing/>
        <w:rPr>
          <w:rFonts w:ascii="Arial" w:hAnsi="Arial" w:cs="Arial"/>
          <w:u w:val="single"/>
        </w:rPr>
      </w:pPr>
    </w:p>
    <w:p w:rsidR="0038520C" w:rsidRPr="00F62464" w:rsidRDefault="0038520C" w:rsidP="0038520C">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 przypadku lokalizacji projektu na obszarze objętym siecią Natura 2000 (innego niż przedsięwzięcie mogące znacząco oddziaływać na środowisko) niezbędne jest </w:t>
      </w:r>
      <w:r w:rsidRPr="00FD432B">
        <w:rPr>
          <w:rFonts w:ascii="Arial" w:hAnsi="Arial" w:cs="Arial"/>
          <w:sz w:val="22"/>
          <w:szCs w:val="22"/>
          <w:u w:val="single"/>
        </w:rPr>
        <w:t>podejście indywidualne</w:t>
      </w:r>
      <w:r w:rsidRPr="00FD432B">
        <w:rPr>
          <w:rFonts w:ascii="Arial" w:hAnsi="Arial" w:cs="Arial"/>
          <w:sz w:val="22"/>
          <w:szCs w:val="22"/>
        </w:rPr>
        <w:t xml:space="preserve"> do każdego projektu w celu zajęcia stanowiska co do potrzeby dołączenia ww. </w:t>
      </w:r>
      <w:r w:rsidRPr="00FD432B">
        <w:rPr>
          <w:rFonts w:ascii="Arial" w:hAnsi="Arial" w:cs="Arial"/>
          <w:i/>
          <w:sz w:val="22"/>
          <w:szCs w:val="22"/>
        </w:rPr>
        <w:t>deklaracji.</w:t>
      </w:r>
      <w:r w:rsidRPr="00FD432B">
        <w:rPr>
          <w:rFonts w:ascii="Arial" w:hAnsi="Arial" w:cs="Arial"/>
          <w:sz w:val="22"/>
          <w:szCs w:val="22"/>
        </w:rPr>
        <w:t xml:space="preserve"> </w:t>
      </w:r>
      <w:r w:rsidRPr="00F62464">
        <w:rPr>
          <w:rFonts w:ascii="Arial" w:hAnsi="Arial" w:cs="Arial"/>
          <w:sz w:val="22"/>
          <w:szCs w:val="22"/>
        </w:rPr>
        <w:t>Poniżej przedstawiono przykładowe projekty zlokalizowane w granicach obszarów Natura 2000, które mogą wymagać dołączenia ww. deklaracji:</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wszelkie prace konserwatorskie i restauratorskie prowadzone wewnątrz lub na zewnątrz budynków</w:t>
      </w:r>
      <w:r>
        <w:rPr>
          <w:rFonts w:ascii="Arial" w:hAnsi="Arial" w:cs="Arial"/>
          <w:sz w:val="22"/>
          <w:szCs w:val="22"/>
        </w:rPr>
        <w:t>;</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przebudowa obiektów, mieszczących się w obrysie zewnętrznym ścian parteru budynku, m.in. nadbudowa</w:t>
      </w:r>
      <w:r>
        <w:rPr>
          <w:rFonts w:ascii="Arial" w:hAnsi="Arial" w:cs="Arial"/>
          <w:sz w:val="22"/>
          <w:szCs w:val="22"/>
        </w:rPr>
        <w:t>;</w:t>
      </w:r>
    </w:p>
    <w:p w:rsidR="0038520C" w:rsidRPr="00FD432B"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energooszczędne oświetlenie ulic i dróg</w:t>
      </w:r>
      <w:r>
        <w:rPr>
          <w:rFonts w:ascii="Arial" w:hAnsi="Arial" w:cs="Arial"/>
          <w:sz w:val="22"/>
          <w:szCs w:val="22"/>
        </w:rPr>
        <w:t>;</w:t>
      </w:r>
      <w:r w:rsidRPr="00FD432B">
        <w:rPr>
          <w:rFonts w:ascii="Arial" w:hAnsi="Arial" w:cs="Arial"/>
          <w:sz w:val="22"/>
          <w:szCs w:val="22"/>
        </w:rPr>
        <w:t xml:space="preserve"> </w:t>
      </w:r>
    </w:p>
    <w:p w:rsidR="0038520C" w:rsidRDefault="0038520C" w:rsidP="0038520C">
      <w:pPr>
        <w:pStyle w:val="Akapitzlist"/>
        <w:numPr>
          <w:ilvl w:val="0"/>
          <w:numId w:val="19"/>
        </w:numPr>
        <w:spacing w:after="0"/>
        <w:ind w:left="1418" w:hanging="284"/>
        <w:contextualSpacing/>
        <w:rPr>
          <w:rFonts w:ascii="Arial" w:hAnsi="Arial" w:cs="Arial"/>
          <w:sz w:val="22"/>
          <w:szCs w:val="22"/>
        </w:rPr>
      </w:pPr>
      <w:r w:rsidRPr="00FD432B">
        <w:rPr>
          <w:rFonts w:ascii="Arial" w:hAnsi="Arial" w:cs="Arial"/>
          <w:sz w:val="22"/>
          <w:szCs w:val="22"/>
        </w:rPr>
        <w:t>obiekty małej architektury i zagospodarowanie terenów zielonych.</w:t>
      </w:r>
    </w:p>
    <w:p w:rsidR="0038520C" w:rsidRPr="0038520C" w:rsidRDefault="0038520C" w:rsidP="0038520C">
      <w:pPr>
        <w:spacing w:after="0"/>
        <w:ind w:left="1134"/>
        <w:contextualSpacing/>
        <w:rPr>
          <w:rFonts w:ascii="Arial" w:hAnsi="Arial" w:cs="Arial"/>
        </w:rPr>
      </w:pPr>
    </w:p>
    <w:p w:rsidR="00EC403B" w:rsidRPr="00FD432B" w:rsidRDefault="00EC403B" w:rsidP="00FD432B">
      <w:pPr>
        <w:pStyle w:val="Akapitzlist"/>
        <w:numPr>
          <w:ilvl w:val="0"/>
          <w:numId w:val="13"/>
        </w:numPr>
        <w:spacing w:after="0"/>
        <w:ind w:left="567" w:hanging="425"/>
        <w:contextualSpacing/>
        <w:rPr>
          <w:rFonts w:ascii="Arial" w:hAnsi="Arial" w:cs="Arial"/>
          <w:sz w:val="22"/>
          <w:szCs w:val="22"/>
        </w:rPr>
      </w:pPr>
      <w:r w:rsidRPr="00FD432B">
        <w:rPr>
          <w:rFonts w:ascii="Arial" w:hAnsi="Arial" w:cs="Arial"/>
          <w:sz w:val="22"/>
          <w:szCs w:val="22"/>
        </w:rPr>
        <w:t xml:space="preserve">Wyłączeniu z obowiązku przedkładania </w:t>
      </w:r>
      <w:r w:rsidRPr="00FD432B">
        <w:rPr>
          <w:rFonts w:ascii="Arial" w:hAnsi="Arial" w:cs="Arial"/>
          <w:i/>
          <w:sz w:val="22"/>
          <w:szCs w:val="22"/>
        </w:rPr>
        <w:t>deklaracji organu odpowiedzialnego za monitorowanie obszarów sieci Natura 2000</w:t>
      </w:r>
      <w:r w:rsidRPr="00FD432B">
        <w:rPr>
          <w:rFonts w:ascii="Arial" w:hAnsi="Arial" w:cs="Arial"/>
          <w:sz w:val="22"/>
          <w:szCs w:val="22"/>
        </w:rPr>
        <w:t xml:space="preserve"> podlegałyby co do zasady następujące zamierzenia inwestycyjne:</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projekty nieinfrastrukturalne</w:t>
      </w:r>
      <w:r w:rsidR="00346D50">
        <w:rPr>
          <w:rFonts w:ascii="Arial" w:hAnsi="Arial" w:cs="Arial"/>
          <w:sz w:val="22"/>
          <w:szCs w:val="22"/>
        </w:rPr>
        <w:t>;</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kolektory słoneczne, panele fotowoltaiczne na budynkach</w:t>
      </w:r>
      <w:r w:rsidR="00346D50">
        <w:rPr>
          <w:rFonts w:ascii="Arial" w:hAnsi="Arial" w:cs="Arial"/>
          <w:sz w:val="22"/>
          <w:szCs w:val="22"/>
        </w:rPr>
        <w:t>;</w:t>
      </w:r>
    </w:p>
    <w:p w:rsidR="00EC403B" w:rsidRPr="00FD432B"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powietrzne pompy ciepła</w:t>
      </w:r>
      <w:r w:rsidR="00346D50">
        <w:rPr>
          <w:rFonts w:ascii="Arial" w:hAnsi="Arial" w:cs="Arial"/>
          <w:sz w:val="22"/>
          <w:szCs w:val="22"/>
        </w:rPr>
        <w:t>;</w:t>
      </w:r>
    </w:p>
    <w:p w:rsidR="002C4EBD" w:rsidRDefault="00EC403B" w:rsidP="00FD432B">
      <w:pPr>
        <w:pStyle w:val="Akapitzlist"/>
        <w:numPr>
          <w:ilvl w:val="0"/>
          <w:numId w:val="18"/>
        </w:numPr>
        <w:spacing w:after="0"/>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sidRPr="00FD432B">
        <w:rPr>
          <w:rFonts w:ascii="Arial" w:hAnsi="Arial" w:cs="Arial"/>
          <w:sz w:val="22"/>
          <w:szCs w:val="22"/>
        </w:rPr>
        <w:br/>
        <w:t>i systemów grzewczych w budynkach</w:t>
      </w:r>
    </w:p>
    <w:p w:rsidR="00EC403B" w:rsidRPr="00FD432B" w:rsidRDefault="002C4EBD" w:rsidP="00FD432B">
      <w:pPr>
        <w:pStyle w:val="Akapitzlist"/>
        <w:numPr>
          <w:ilvl w:val="0"/>
          <w:numId w:val="18"/>
        </w:numPr>
        <w:spacing w:after="0"/>
        <w:contextualSpacing/>
        <w:rPr>
          <w:rFonts w:ascii="Arial" w:hAnsi="Arial" w:cs="Arial"/>
          <w:sz w:val="22"/>
          <w:szCs w:val="22"/>
        </w:rPr>
      </w:pPr>
      <w:r>
        <w:rPr>
          <w:rFonts w:ascii="Arial" w:hAnsi="Arial" w:cs="Arial"/>
          <w:sz w:val="22"/>
          <w:szCs w:val="22"/>
        </w:rPr>
        <w:t xml:space="preserve">projekty </w:t>
      </w:r>
      <w:r w:rsidRPr="0062487C">
        <w:rPr>
          <w:rFonts w:ascii="Arial" w:hAnsi="Arial" w:cs="Arial"/>
          <w:sz w:val="22"/>
          <w:szCs w:val="22"/>
        </w:rPr>
        <w:t>o charakterze termomodernizacyjnym</w:t>
      </w:r>
      <w:r>
        <w:rPr>
          <w:rFonts w:ascii="Arial" w:hAnsi="Arial" w:cs="Arial"/>
          <w:sz w:val="22"/>
          <w:szCs w:val="22"/>
        </w:rPr>
        <w:t xml:space="preserve"> </w:t>
      </w:r>
      <w:r w:rsidR="007817EC">
        <w:rPr>
          <w:rFonts w:ascii="Arial" w:hAnsi="Arial" w:cs="Arial"/>
          <w:sz w:val="22"/>
          <w:szCs w:val="22"/>
        </w:rPr>
        <w:t>dotyczące</w:t>
      </w:r>
      <w:r>
        <w:rPr>
          <w:rFonts w:ascii="Arial" w:hAnsi="Arial" w:cs="Arial"/>
          <w:sz w:val="22"/>
          <w:szCs w:val="22"/>
        </w:rPr>
        <w:t xml:space="preserve"> obiektów </w:t>
      </w:r>
      <w:r w:rsidRPr="0062487C">
        <w:rPr>
          <w:rFonts w:ascii="Arial" w:hAnsi="Arial" w:cs="Arial"/>
          <w:sz w:val="22"/>
          <w:szCs w:val="22"/>
        </w:rPr>
        <w:t xml:space="preserve">zlokalizowanych </w:t>
      </w:r>
      <w:r>
        <w:rPr>
          <w:rFonts w:ascii="Arial" w:hAnsi="Arial" w:cs="Arial"/>
          <w:sz w:val="22"/>
          <w:szCs w:val="22"/>
        </w:rPr>
        <w:t>poza obszarami</w:t>
      </w:r>
      <w:r w:rsidRPr="0062487C">
        <w:rPr>
          <w:rFonts w:ascii="Arial" w:hAnsi="Arial" w:cs="Arial"/>
          <w:sz w:val="22"/>
          <w:szCs w:val="22"/>
        </w:rPr>
        <w:t xml:space="preserve"> Natura 2000</w:t>
      </w:r>
      <w:r w:rsidR="00EC403B" w:rsidRPr="00FD432B">
        <w:rPr>
          <w:rFonts w:ascii="Arial" w:hAnsi="Arial" w:cs="Arial"/>
          <w:sz w:val="22"/>
          <w:szCs w:val="22"/>
        </w:rPr>
        <w:t>.</w:t>
      </w:r>
    </w:p>
    <w:p w:rsidR="00FD432B" w:rsidRPr="00FD432B" w:rsidRDefault="00FD432B" w:rsidP="00736D8E">
      <w:pPr>
        <w:spacing w:after="0"/>
        <w:contextualSpacing/>
        <w:rPr>
          <w:rFonts w:ascii="Arial" w:hAnsi="Arial" w:cs="Arial"/>
          <w:highlight w:val="yellow"/>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Ponadto należy przestrzegać zaleceń zawartych, w przygotowanych przez Komisję Europejską, dokumentach:</w:t>
      </w:r>
    </w:p>
    <w:p w:rsidR="00580A84" w:rsidRPr="00FD432B" w:rsidRDefault="00580A84" w:rsidP="00FD432B">
      <w:pPr>
        <w:numPr>
          <w:ilvl w:val="0"/>
          <w:numId w:val="5"/>
        </w:numPr>
        <w:suppressAutoHyphens/>
        <w:spacing w:after="0" w:line="240" w:lineRule="auto"/>
        <w:jc w:val="both"/>
        <w:rPr>
          <w:rFonts w:ascii="Arial" w:eastAsia="Times New Roman" w:hAnsi="Arial" w:cs="Arial"/>
          <w:i/>
        </w:rPr>
      </w:pPr>
      <w:r w:rsidRPr="00FD432B">
        <w:rPr>
          <w:rFonts w:ascii="Arial" w:eastAsia="Times New Roman" w:hAnsi="Arial" w:cs="Arial"/>
          <w:i/>
        </w:rPr>
        <w:t>Zarządzanie obszarami Natura 2000. Postanowienia artykułu 6 dyrektywy „siedliskowej” 92/43/EWG;</w:t>
      </w:r>
    </w:p>
    <w:p w:rsidR="00580A84" w:rsidRPr="00FD432B" w:rsidRDefault="00580A84" w:rsidP="00FD432B">
      <w:pPr>
        <w:numPr>
          <w:ilvl w:val="0"/>
          <w:numId w:val="5"/>
        </w:numPr>
        <w:suppressAutoHyphens/>
        <w:spacing w:after="0" w:line="240" w:lineRule="auto"/>
        <w:jc w:val="both"/>
        <w:rPr>
          <w:rFonts w:ascii="Arial" w:eastAsia="Times New Roman" w:hAnsi="Arial" w:cs="Arial"/>
        </w:rPr>
      </w:pPr>
      <w:r w:rsidRPr="00FD432B">
        <w:rPr>
          <w:rFonts w:ascii="Arial" w:eastAsia="Times New Roman" w:hAnsi="Arial" w:cs="Arial"/>
          <w:i/>
        </w:rPr>
        <w:t>Ocena planów i przedsięwzięć znacząco oddziałujących na obszary Natura 2000. Wytyczne metodyczne dotyczące przepisów Artykułu 6(3) i (4) Dyrektywy Siedliskowej 92/43/EWG</w:t>
      </w:r>
      <w:r w:rsidRPr="00FD432B">
        <w:rPr>
          <w:rFonts w:ascii="Arial" w:eastAsia="Times New Roman" w:hAnsi="Arial" w:cs="Arial"/>
        </w:rPr>
        <w:t>.</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Dokumenty (w polskiej wersji językowej) można znaleźć na stronie internetowej pod adresem: http://ec.europa.eu/environment/nature/natura2000/management/guidance_en.htm.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090F12"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gdy</w:t>
      </w:r>
      <w:r w:rsidR="00574E6D" w:rsidRPr="00FD432B">
        <w:rPr>
          <w:rFonts w:ascii="Arial" w:eastAsia="Times New Roman" w:hAnsi="Arial" w:cs="Arial"/>
        </w:rPr>
        <w:t xml:space="preserve"> w ramach oceny oddziaływania na środowisko</w:t>
      </w:r>
      <w:r w:rsidR="00580A84" w:rsidRPr="00FD432B">
        <w:rPr>
          <w:rFonts w:ascii="Arial" w:eastAsia="Times New Roman" w:hAnsi="Arial" w:cs="Arial"/>
        </w:rPr>
        <w:t xml:space="preserve"> była przeprowadzona ocena zgodnie z art. 6.3 </w:t>
      </w:r>
      <w:r w:rsidR="00580A84" w:rsidRPr="00FD432B">
        <w:rPr>
          <w:rFonts w:ascii="Arial" w:eastAsia="Times New Roman" w:hAnsi="Arial" w:cs="Arial"/>
          <w:i/>
        </w:rPr>
        <w:t>Dyrektywy Siedliskowej</w:t>
      </w:r>
      <w:r w:rsidR="00580A84" w:rsidRPr="00FD432B">
        <w:rPr>
          <w:rFonts w:ascii="Arial" w:eastAsia="Times New Roman" w:hAnsi="Arial" w:cs="Arial"/>
        </w:rPr>
        <w:t xml:space="preserve"> należy załączyć pełną wersję raportu, lub rozdziały raportu, w których zawarto ocenę wskazaną w art. 6.3 </w:t>
      </w:r>
      <w:r w:rsidR="00580A84" w:rsidRPr="00FD432B">
        <w:rPr>
          <w:rFonts w:ascii="Arial" w:eastAsia="Times New Roman" w:hAnsi="Arial" w:cs="Arial"/>
          <w:i/>
        </w:rPr>
        <w:t>Dyrektywy Siedliskowej</w:t>
      </w:r>
      <w:r w:rsidR="00580A84" w:rsidRPr="00FD432B">
        <w:rPr>
          <w:rFonts w:ascii="Arial" w:eastAsia="Times New Roman" w:hAnsi="Arial" w:cs="Arial"/>
        </w:rPr>
        <w:t xml:space="preserve">. Pozostała wymagana dokumentacja dla przedsięwzięć mogących znacząco oddziaływać na środowisko została wskazana w pkt. </w:t>
      </w:r>
      <w:r w:rsidR="00580A84" w:rsidRPr="00FD432B">
        <w:rPr>
          <w:rFonts w:ascii="Arial" w:eastAsia="Times New Roman" w:hAnsi="Arial" w:cs="Arial"/>
          <w:b/>
        </w:rPr>
        <w:t>3.2. i 3.3.</w:t>
      </w:r>
      <w:r w:rsidR="00580A84" w:rsidRPr="00FD432B">
        <w:rPr>
          <w:rFonts w:ascii="Arial" w:eastAsia="Times New Roman" w:hAnsi="Arial" w:cs="Arial"/>
        </w:rPr>
        <w:t xml:space="preserve"> Części środowiskowej wniosku </w:t>
      </w:r>
      <w:r w:rsidR="00436516">
        <w:rPr>
          <w:rFonts w:ascii="Arial" w:eastAsia="Times New Roman" w:hAnsi="Arial" w:cs="Arial"/>
        </w:rPr>
        <w:br/>
      </w:r>
      <w:r w:rsidR="00580A84" w:rsidRPr="00FD432B">
        <w:rPr>
          <w:rFonts w:ascii="Arial" w:eastAsia="Times New Roman" w:hAnsi="Arial" w:cs="Arial"/>
        </w:rPr>
        <w:t xml:space="preserve">o dofinansowanie. </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przypadku procedury oceny dla przedsięwzięć innych niż mogące znacząco oddziaływać na środowisko opisanej w rozdziale 5 ustawy OOŚ (tzn. przedsięwzięć, które nie są przedsięwzięciami mogącymi znacząco oddziaływać na środowisko ale mogą znacząco oddziaływać na obszary Natura 2000) wymaga się załączenia postanowienia, </w:t>
      </w:r>
      <w:r w:rsidRPr="00FD432B">
        <w:rPr>
          <w:rFonts w:ascii="Arial" w:eastAsia="Times New Roman" w:hAnsi="Arial" w:cs="Arial"/>
        </w:rPr>
        <w:br/>
        <w:t>o którym mowa w art. 98 ustawy OOŚ oraz kopii decyzji, o której mowa w art. 96 ust. 1 ustawy OOŚ wraz z informacją o jej podaniu do publicznej wiadomości w formie przewidzianej w art. 3 ust. 1 pkt 11 ustawy OOŚ.</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przypadku określonym w punkcie 4.2. ppkt 2 dodatkowo wymagana jest kopia dokumentacji, o której mowa w art. 35 ustawy o ochronie przyrody, czyli informacji dotyczącej ustalenia kompensacji przyrodniczej.</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rPr>
        <w:t>Wykonanie kompensacji przyrodniczej następuje nie później niż w terminie rozpoczęcia działań powodujących negatywne oddziaływanie, co powinno zostać odnotowane/potwierdzone na potrzeby wniosku o dofinansowanie.</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w:t>
      </w:r>
    </w:p>
    <w:p w:rsidR="00580A84" w:rsidRPr="00FD432B" w:rsidRDefault="00580A84" w:rsidP="00FD432B">
      <w:pPr>
        <w:spacing w:after="0" w:line="240" w:lineRule="auto"/>
        <w:jc w:val="both"/>
        <w:rPr>
          <w:rFonts w:ascii="Arial" w:hAnsi="Arial" w:cs="Arial"/>
        </w:rPr>
      </w:pPr>
      <w:r w:rsidRPr="00FD432B">
        <w:rPr>
          <w:rFonts w:ascii="Arial" w:hAnsi="Arial" w:cs="Arial"/>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Wskazane zapisy w pytaniu 5.1. w odniesieniu do prawa krajowego należy rozumieć następująco:</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 części wód powierzchniowych – jednolite części wód powierzchniowych (JCWP),</w:t>
      </w: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 części wód podziemnych – jednolite części wód podziemnych (JCWPd).</w:t>
      </w:r>
    </w:p>
    <w:p w:rsidR="00580A84" w:rsidRPr="00FD432B" w:rsidRDefault="00580A84" w:rsidP="00FD432B">
      <w:pPr>
        <w:spacing w:after="0" w:line="240" w:lineRule="auto"/>
        <w:jc w:val="both"/>
        <w:rPr>
          <w:rFonts w:ascii="Arial" w:eastAsia="Calibri" w:hAnsi="Arial" w:cs="Arial"/>
          <w:highlight w:val="yellow"/>
          <w:lang w:eastAsia="en-GB"/>
        </w:rPr>
      </w:pPr>
    </w:p>
    <w:p w:rsidR="00580A84" w:rsidRPr="00FD432B" w:rsidRDefault="00580A84" w:rsidP="00FD432B">
      <w:pPr>
        <w:spacing w:after="0" w:line="240" w:lineRule="auto"/>
        <w:jc w:val="both"/>
        <w:rPr>
          <w:rFonts w:ascii="Arial" w:eastAsia="Calibri" w:hAnsi="Arial" w:cs="Arial"/>
          <w:lang w:eastAsia="en-GB"/>
        </w:rPr>
      </w:pPr>
      <w:r w:rsidRPr="00FD432B">
        <w:rPr>
          <w:rFonts w:ascii="Arial" w:eastAsia="Calibri" w:hAnsi="Arial" w:cs="Arial"/>
          <w:lang w:eastAsia="en-GB"/>
        </w:rPr>
        <w:t>Informacja ma odpowiadać na pytanie czy wystąpią okoliczności mówiące o tym, że dobry stan ekologiczny lub potencjał ekologiczny nie zostanie osiągnięty lub nie uda się zapobiec pogorszeniu stanu JCWP lub JCWPd w wyniku nowych zmian w charakterystyce fizycznej JCWP lub zmianie poziomu JCWPd.</w:t>
      </w:r>
    </w:p>
    <w:p w:rsidR="00580A84" w:rsidRPr="00FD432B" w:rsidRDefault="00580A84" w:rsidP="00FD432B">
      <w:pPr>
        <w:spacing w:after="0" w:line="240" w:lineRule="auto"/>
        <w:contextualSpacing/>
        <w:rPr>
          <w:rFonts w:ascii="Arial" w:hAnsi="Arial" w:cs="Arial"/>
          <w:bCs/>
        </w:rPr>
      </w:pP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5.1.1.</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przedmiotowym punkcie uwzględnia się projekty podlegające ocenie pod kątem spełnienia przesłanek dla zastosowania odstępstw od osiągnięcia celów środowiskowych, o których mowa w artykule 4 ust. 7 Ramowej Dyrektywy Wodnej.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580A84" w:rsidRPr="00FD432B" w:rsidRDefault="00580A84" w:rsidP="00FD432B">
      <w:pPr>
        <w:spacing w:after="0" w:line="240" w:lineRule="auto"/>
        <w:jc w:val="both"/>
        <w:rPr>
          <w:rFonts w:ascii="Arial" w:hAnsi="Arial" w:cs="Arial"/>
        </w:rPr>
      </w:pPr>
      <w:r w:rsidRPr="00FD432B">
        <w:rPr>
          <w:rFonts w:ascii="Arial" w:hAnsi="Arial" w:cs="Arial"/>
        </w:rPr>
        <w:t>W przedmiotowym przypadku mówimy o odstępstwie dopuszczonym ze względu na planowany projekt, które wskazano w art. 4 ust. 7 RDW, tj. nowe zmiany charakterystyki fizycznej JCWP lub zmiany poziomu JCWPd lub nowe formy zrównoważonej działalności człowieka.</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obecnym stanie prawnym w procedurze oceny oddziaływania na środowisko poprzedzającej wydanie decyzji o środowiskowych uwarunkowaniach uwzględniona jest ocena związana z ww. odstępstwem. W artykule 81 ustawy OOŚ (zmiana wprowadzona ustawą z dnia 5 stycznia 2011 roku </w:t>
      </w:r>
      <w:r w:rsidRPr="00FD432B">
        <w:rPr>
          <w:rFonts w:ascii="Arial" w:hAnsi="Arial" w:cs="Arial"/>
          <w:i/>
        </w:rPr>
        <w:t>o zmianie ustawy Prawo wodne oraz niektórych innych ustaw</w:t>
      </w:r>
      <w:r w:rsidRPr="00FD432B">
        <w:rPr>
          <w:rFonts w:ascii="Arial" w:hAnsi="Arial" w:cs="Arial"/>
        </w:rPr>
        <w:t xml:space="preserve"> (Dz. U. nr 32 poz. 159) – dalej </w:t>
      </w:r>
      <w:r w:rsidRPr="00FD432B">
        <w:rPr>
          <w:rFonts w:ascii="Arial" w:hAnsi="Arial" w:cs="Arial"/>
          <w:i/>
        </w:rPr>
        <w:t>ustawa z dnia 5 stycznia 2011 r</w:t>
      </w:r>
      <w:r w:rsidRPr="00FD432B">
        <w:rPr>
          <w:rFonts w:ascii="Arial" w:hAnsi="Arial" w:cs="Arial"/>
        </w:rPr>
        <w:t xml:space="preserve">.) wskazano, że jeżeli </w:t>
      </w:r>
      <w:r w:rsidRPr="00FD432B">
        <w:rPr>
          <w:rFonts w:ascii="Arial" w:hAnsi="Arial" w:cs="Arial"/>
        </w:rPr>
        <w:br/>
        <w:t>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w:t>
      </w:r>
    </w:p>
    <w:p w:rsidR="00580A84" w:rsidRPr="00FD432B" w:rsidRDefault="00580A84" w:rsidP="00FD432B">
      <w:pPr>
        <w:spacing w:after="0" w:line="240" w:lineRule="auto"/>
        <w:jc w:val="both"/>
        <w:rPr>
          <w:rFonts w:ascii="Arial" w:hAnsi="Arial" w:cs="Arial"/>
        </w:rPr>
      </w:pPr>
      <w:r w:rsidRPr="00FD432B">
        <w:rPr>
          <w:rFonts w:ascii="Arial" w:hAnsi="Arial" w:cs="Arial"/>
        </w:rPr>
        <w:t>Artykuł 38j ust. 3 ustawy Prawo wodne stanowi, iż aby móc skorzystać z odstępstwa określonego w ust. 1 i 2 konieczne jest łączne spełnienie wymienionych warunków:</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zaplanowano łagodzenie skutków negatywnych oddziaływań na stan wód;</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 xml:space="preserve">przyczyny nowych zmian są przedstawione w aktualizacji PGW; </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przyczyną realizacji przedsięwzięcia jest nadrzędny cel publiczny a utracone korzyści przeważane są przez pozytywne efekty dla środowiska i społeczeństwa (uwzględniając zasadę zrównoważonego rozwoju);</w:t>
      </w:r>
    </w:p>
    <w:p w:rsidR="00580A84" w:rsidRPr="00FD432B" w:rsidRDefault="00580A84" w:rsidP="00FD432B">
      <w:pPr>
        <w:pStyle w:val="Akapitzlist"/>
        <w:numPr>
          <w:ilvl w:val="0"/>
          <w:numId w:val="8"/>
        </w:numPr>
        <w:spacing w:after="0"/>
        <w:rPr>
          <w:rFonts w:ascii="Arial" w:hAnsi="Arial" w:cs="Arial"/>
          <w:sz w:val="22"/>
          <w:szCs w:val="22"/>
        </w:rPr>
      </w:pPr>
      <w:r w:rsidRPr="00FD432B">
        <w:rPr>
          <w:rFonts w:ascii="Arial" w:hAnsi="Arial" w:cs="Arial"/>
          <w:sz w:val="22"/>
          <w:szCs w:val="22"/>
        </w:rPr>
        <w:t>rozpatrzono alternatywy i wybrano wariant najlepszy, tzn. zakładanych korzyści nie można osiągnąć w inny sposób, lepszy dla środowiska ze względu na wykonalność techniczną lub nieproporcjonalnie wysokie koszty w stosunku do zakładanych korzyści.</w:t>
      </w:r>
    </w:p>
    <w:p w:rsidR="00580A84" w:rsidRPr="00FD432B" w:rsidRDefault="00580A84" w:rsidP="00FD432B">
      <w:pPr>
        <w:spacing w:after="0" w:line="240" w:lineRule="auto"/>
        <w:jc w:val="both"/>
        <w:rPr>
          <w:rFonts w:ascii="Arial" w:hAnsi="Arial" w:cs="Arial"/>
        </w:rPr>
      </w:pPr>
      <w:r w:rsidRPr="00FD432B">
        <w:rPr>
          <w:rFonts w:ascii="Arial" w:hAnsi="Arial" w:cs="Arial"/>
        </w:rPr>
        <w:t>Tym samym w procedurze oceny oddziaływania na środowisko badane jest spełnienie przesłanek, o których mowa w artykule 38j ustawy Prawo wodne.</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5.1.2.</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Uwzględnione w przedmiotowym punkcie będą również działania objęte wnioskiem, które </w:t>
      </w:r>
      <w:r w:rsidRPr="00FD432B">
        <w:rPr>
          <w:rFonts w:ascii="Arial" w:hAnsi="Arial" w:cs="Arial"/>
        </w:rPr>
        <w:br/>
        <w:t>z racji swojego charakteru nie będą miały znaczenia dla osiągnięcia celów dyrektywy. W polu tekstowym należy albo powołać stosowną deklarację albo wyjaśnić, że nie ma potrzeby dołączenia tego dokumentu.</w:t>
      </w:r>
    </w:p>
    <w:p w:rsidR="00580A84" w:rsidRPr="00FD432B" w:rsidRDefault="00580A84" w:rsidP="00FD432B">
      <w:pPr>
        <w:spacing w:after="0" w:line="240" w:lineRule="auto"/>
        <w:contextualSpacing/>
        <w:rPr>
          <w:rFonts w:ascii="Arial" w:hAnsi="Arial" w:cs="Arial"/>
          <w:bCs/>
        </w:rPr>
      </w:pPr>
    </w:p>
    <w:p w:rsidR="00580A84" w:rsidRPr="00FD432B" w:rsidRDefault="00580A84" w:rsidP="00FD432B">
      <w:pPr>
        <w:spacing w:after="0" w:line="240" w:lineRule="auto"/>
        <w:contextualSpacing/>
        <w:jc w:val="both"/>
        <w:rPr>
          <w:rFonts w:ascii="Arial" w:hAnsi="Arial" w:cs="Arial"/>
        </w:rPr>
      </w:pPr>
      <w:r w:rsidRPr="00FD432B">
        <w:rPr>
          <w:rFonts w:ascii="Arial" w:hAnsi="Arial" w:cs="Arial"/>
          <w:bCs/>
        </w:rPr>
        <w:t>Wymóg dołączenia</w:t>
      </w:r>
      <w:r w:rsidRPr="00FD432B">
        <w:rPr>
          <w:rFonts w:ascii="Arial" w:hAnsi="Arial" w:cs="Arial"/>
          <w:bCs/>
          <w:i/>
        </w:rPr>
        <w:t xml:space="preserve"> deklaracji właściwego organu odpowiedzialnego za gospodarkę wodną </w:t>
      </w:r>
      <w:r w:rsidRPr="00FD432B">
        <w:rPr>
          <w:rFonts w:ascii="Arial" w:hAnsi="Arial" w:cs="Arial"/>
          <w:bCs/>
        </w:rPr>
        <w:t xml:space="preserve">dotyczy następujących rodzajów projektów: </w:t>
      </w:r>
    </w:p>
    <w:p w:rsidR="00580A84" w:rsidRPr="00FD432B" w:rsidRDefault="00580A84" w:rsidP="00FD432B">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sz w:val="22"/>
          <w:szCs w:val="22"/>
        </w:rPr>
        <w:t xml:space="preserve">stanowiących przedsięwzięcie mogące znacząco oddziaływać na środowisko gdy </w:t>
      </w:r>
      <w:r w:rsidRPr="00FD432B">
        <w:rPr>
          <w:rFonts w:ascii="Arial" w:hAnsi="Arial" w:cs="Arial"/>
          <w:sz w:val="22"/>
          <w:szCs w:val="22"/>
        </w:rPr>
        <w:br/>
        <w:t xml:space="preserve">w postępowaniu zmierzającym do wydania decyzji o środowiskowych uwarunkowaniach </w:t>
      </w:r>
      <w:r w:rsidRPr="00FD432B">
        <w:rPr>
          <w:rFonts w:ascii="Arial" w:hAnsi="Arial" w:cs="Arial"/>
          <w:sz w:val="22"/>
          <w:szCs w:val="22"/>
          <w:u w:val="single"/>
        </w:rPr>
        <w:t>nie analizowano wpływu na cele środowiskowe Ramowej Dyrektywy Wodnej,</w:t>
      </w:r>
    </w:p>
    <w:p w:rsidR="00580A84" w:rsidRPr="00FD432B" w:rsidRDefault="00580A84" w:rsidP="00FD432B">
      <w:pPr>
        <w:pStyle w:val="Akapitzlist"/>
        <w:numPr>
          <w:ilvl w:val="0"/>
          <w:numId w:val="14"/>
        </w:numPr>
        <w:spacing w:after="0"/>
        <w:ind w:left="426" w:hanging="284"/>
        <w:contextualSpacing/>
        <w:rPr>
          <w:rFonts w:ascii="Arial" w:hAnsi="Arial" w:cs="Arial"/>
          <w:sz w:val="22"/>
          <w:szCs w:val="22"/>
          <w:u w:val="single"/>
        </w:rPr>
      </w:pPr>
      <w:r w:rsidRPr="00FD432B">
        <w:rPr>
          <w:rFonts w:ascii="Arial" w:hAnsi="Arial" w:cs="Arial"/>
          <w:bCs/>
          <w:sz w:val="22"/>
          <w:szCs w:val="22"/>
        </w:rPr>
        <w:t xml:space="preserve">nie stanowiących przedsięwzięć mogących znacząco oddziaływać na środowisko (nie wymagających decyzji o środowiskowych uwarunkowaniach) ale mających charakter infrastrukturalny (czyli wymagających uzyskania „zezwolenia na inwestycję”, którymi są decyzje z katalogu uwzględnionego w art. 72 ust. 1 ustawy OOŚ, a także zgłoszenie, </w:t>
      </w:r>
      <w:r w:rsidRPr="00FD432B">
        <w:rPr>
          <w:rFonts w:ascii="Arial" w:hAnsi="Arial" w:cs="Arial"/>
          <w:bCs/>
          <w:sz w:val="22"/>
          <w:szCs w:val="22"/>
        </w:rPr>
        <w:br/>
        <w:t xml:space="preserve">o którym mowa w art. 72 ust. 1a ustawy OOŚ), </w:t>
      </w:r>
      <w:r w:rsidRPr="00FD432B">
        <w:rPr>
          <w:rFonts w:ascii="Arial" w:hAnsi="Arial" w:cs="Arial"/>
          <w:bCs/>
          <w:sz w:val="22"/>
          <w:szCs w:val="22"/>
          <w:u w:val="single"/>
        </w:rPr>
        <w:t xml:space="preserve">gdy zakres tych projektów oraz ich lokalizacja wskazują na możliwość znaczącego wpływu na cele środowiskowe RDW. </w:t>
      </w:r>
    </w:p>
    <w:p w:rsidR="00580A84" w:rsidRPr="00FD432B" w:rsidRDefault="00580A84" w:rsidP="00FD432B">
      <w:pPr>
        <w:suppressAutoHyphens/>
        <w:spacing w:after="0" w:line="240" w:lineRule="auto"/>
        <w:jc w:val="both"/>
        <w:rPr>
          <w:rFonts w:ascii="Arial" w:eastAsia="Times New Roman" w:hAnsi="Arial" w:cs="Arial"/>
          <w:b/>
        </w:rPr>
      </w:pPr>
    </w:p>
    <w:p w:rsidR="009017BE" w:rsidRPr="00FD432B" w:rsidRDefault="009017BE" w:rsidP="00FD432B">
      <w:pPr>
        <w:spacing w:after="0" w:line="240" w:lineRule="auto"/>
        <w:ind w:left="142"/>
        <w:contextualSpacing/>
        <w:rPr>
          <w:rFonts w:ascii="Arial" w:hAnsi="Arial" w:cs="Arial"/>
        </w:rPr>
      </w:pPr>
      <w:r w:rsidRPr="00FD432B">
        <w:rPr>
          <w:rFonts w:ascii="Arial" w:hAnsi="Arial" w:cs="Arial"/>
        </w:rPr>
        <w:t xml:space="preserve">Wyłączeniu z obowiązku przedkładania </w:t>
      </w:r>
      <w:r w:rsidRPr="00FD432B">
        <w:rPr>
          <w:rFonts w:ascii="Arial" w:hAnsi="Arial" w:cs="Arial"/>
          <w:i/>
        </w:rPr>
        <w:t>deklaracji organu odpowiedzialnego za gospodarkę wodną</w:t>
      </w:r>
      <w:r w:rsidRPr="00FD432B">
        <w:rPr>
          <w:rFonts w:ascii="Arial" w:hAnsi="Arial" w:cs="Arial"/>
        </w:rPr>
        <w:t xml:space="preserve"> podlegałyby co do zasady następujące zamierzenia inwestycyjne:</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projekty nieinfrastrukturalne</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kabli teletechnicznych instalowanych na istniejących słupach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budowa ścieżek rowerowych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montaż anten, nadajników i odbiorników na istniejących obiektach budowlanych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termomodernizacja budynków</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instalacja kolektorów słonecznych, paneli fotowoltaicznych na budynkach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instalacja powietrznych pomp ciepła</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wszelkie prace konserwatorskie i restauratorskie prowadzone wewnątrz i na zewnątrz budynków oraz remont obiektów budowlanych innych niż kategorie VII, XXI, XXIV, XXVII, XXVIII, XXX z załącznika do ustawy Prawo budowlane</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zmiana sposobu użytkowania istniejących budynków</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 xml:space="preserve">prace związane z wykonaniem instalacji wewnętrznych, w tym wymiana źródeł </w:t>
      </w:r>
      <w:r w:rsidR="00346D50">
        <w:rPr>
          <w:rFonts w:ascii="Arial" w:hAnsi="Arial" w:cs="Arial"/>
          <w:sz w:val="22"/>
          <w:szCs w:val="22"/>
        </w:rPr>
        <w:br/>
      </w:r>
      <w:r w:rsidRPr="00FD432B">
        <w:rPr>
          <w:rFonts w:ascii="Arial" w:hAnsi="Arial" w:cs="Arial"/>
          <w:sz w:val="22"/>
          <w:szCs w:val="22"/>
        </w:rPr>
        <w:t>i systemów grzewczych w budynkach</w:t>
      </w:r>
      <w:r w:rsidR="00346D50">
        <w:rPr>
          <w:rFonts w:ascii="Arial" w:hAnsi="Arial" w:cs="Arial"/>
          <w:sz w:val="22"/>
          <w:szCs w:val="22"/>
        </w:rPr>
        <w:t>;</w:t>
      </w:r>
    </w:p>
    <w:p w:rsidR="009017BE" w:rsidRPr="00FD432B" w:rsidRDefault="009017BE"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przebudowa obiektów innych niż ww. kategorie, mieszczące się w obrysie zewnętrznym ścian parteru budynku, m.in. na</w:t>
      </w:r>
      <w:r w:rsidR="00FD432B" w:rsidRPr="00FD432B">
        <w:rPr>
          <w:rFonts w:ascii="Arial" w:hAnsi="Arial" w:cs="Arial"/>
          <w:sz w:val="22"/>
          <w:szCs w:val="22"/>
        </w:rPr>
        <w:t>d</w:t>
      </w:r>
      <w:r w:rsidRPr="00FD432B">
        <w:rPr>
          <w:rFonts w:ascii="Arial" w:hAnsi="Arial" w:cs="Arial"/>
          <w:sz w:val="22"/>
          <w:szCs w:val="22"/>
        </w:rPr>
        <w:t>budowa</w:t>
      </w:r>
      <w:r w:rsidR="00346D50">
        <w:rPr>
          <w:rFonts w:ascii="Arial" w:hAnsi="Arial" w:cs="Arial"/>
          <w:sz w:val="22"/>
          <w:szCs w:val="22"/>
        </w:rPr>
        <w:t>;</w:t>
      </w:r>
    </w:p>
    <w:p w:rsidR="00FD432B" w:rsidRPr="00FD432B" w:rsidRDefault="00FD432B"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energooszczędnego oświetlenia ulic i dróg</w:t>
      </w:r>
      <w:r w:rsidR="00346D50">
        <w:rPr>
          <w:rFonts w:ascii="Arial" w:hAnsi="Arial" w:cs="Arial"/>
          <w:sz w:val="22"/>
          <w:szCs w:val="22"/>
        </w:rPr>
        <w:t>;</w:t>
      </w:r>
    </w:p>
    <w:p w:rsidR="00FD432B" w:rsidRPr="00FD432B" w:rsidRDefault="00FD432B" w:rsidP="00FD432B">
      <w:pPr>
        <w:pStyle w:val="Akapitzlist"/>
        <w:numPr>
          <w:ilvl w:val="0"/>
          <w:numId w:val="18"/>
        </w:numPr>
        <w:spacing w:after="0"/>
        <w:ind w:left="426" w:hanging="284"/>
        <w:contextualSpacing/>
        <w:rPr>
          <w:rFonts w:ascii="Arial" w:hAnsi="Arial" w:cs="Arial"/>
          <w:sz w:val="22"/>
          <w:szCs w:val="22"/>
        </w:rPr>
      </w:pPr>
      <w:r w:rsidRPr="00FD432B">
        <w:rPr>
          <w:rFonts w:ascii="Arial" w:hAnsi="Arial" w:cs="Arial"/>
          <w:sz w:val="22"/>
          <w:szCs w:val="22"/>
        </w:rPr>
        <w:t>wykonanie obiektów małej architektury i zagospodarowanie terenów zielonych.</w:t>
      </w:r>
    </w:p>
    <w:p w:rsidR="009017BE" w:rsidRPr="00FD432B" w:rsidRDefault="009017BE"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Dla każdej z wymienionych dyrektyw (dyrektywy dotyczącej oczyszczania ścieków komunalnych/dyrektywy ramowej w sprawie odpadów/dyrektywy w sprawie emisji przemysłowych), jeśli dotyczy, należy wskazać odpowiednie decyzje administracyjne, </w:t>
      </w:r>
      <w:r w:rsidRPr="00FD432B">
        <w:rPr>
          <w:rFonts w:ascii="Arial" w:eastAsia="Times New Roman" w:hAnsi="Arial" w:cs="Arial"/>
        </w:rPr>
        <w:br/>
        <w:t>w których organ administracji dokonał stosownego rozpatrzenia zgodnie z aktualnym na dzień złożenia wniosku, prawodawstwem.</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6.1.</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 xml:space="preserve">W polu tekstowym należy podać szczegółowe informacje dotyczące wypełniania przez aglomerację lub aglomeracje, na których realizowany jest projekt, przepisów </w:t>
      </w:r>
      <w:r w:rsidRPr="00FD432B">
        <w:rPr>
          <w:rFonts w:ascii="Arial" w:eastAsia="Times New Roman" w:hAnsi="Arial" w:cs="Arial"/>
          <w:i/>
        </w:rPr>
        <w:t xml:space="preserve">Dyrektywy </w:t>
      </w:r>
      <w:r w:rsidRPr="00FD432B">
        <w:rPr>
          <w:rFonts w:ascii="Arial" w:eastAsia="Times New Roman" w:hAnsi="Arial" w:cs="Arial"/>
          <w:i/>
        </w:rPr>
        <w:br/>
        <w:t>Rady 91/271/EWG w sprawie oczyszczania ścieków komunalnych</w:t>
      </w:r>
      <w:r w:rsidRPr="00FD432B">
        <w:rPr>
          <w:rFonts w:ascii="Arial" w:eastAsia="Times New Roman" w:hAnsi="Arial" w:cs="Arial"/>
        </w:rPr>
        <w:t xml:space="preserve"> (tzw. dyrektywy ściekowej), w szczególności należy wziąć pod uwagę następujące aspekty:</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pStyle w:val="Akapitzlist"/>
        <w:numPr>
          <w:ilvl w:val="0"/>
          <w:numId w:val="11"/>
        </w:numPr>
        <w:suppressAutoHyphens/>
        <w:spacing w:after="0"/>
        <w:ind w:left="426" w:hanging="284"/>
        <w:rPr>
          <w:rFonts w:ascii="Arial" w:hAnsi="Arial" w:cs="Arial"/>
          <w:i/>
          <w:sz w:val="22"/>
          <w:szCs w:val="22"/>
        </w:rPr>
      </w:pPr>
      <w:r w:rsidRPr="00FD432B">
        <w:rPr>
          <w:rFonts w:ascii="Arial" w:hAnsi="Arial" w:cs="Arial"/>
          <w:sz w:val="22"/>
          <w:szCs w:val="22"/>
        </w:rPr>
        <w:t xml:space="preserve">Wielkość aglomeracji oraz jej zgodność z aktualną wersją </w:t>
      </w:r>
      <w:r w:rsidRPr="00FD432B">
        <w:rPr>
          <w:rFonts w:ascii="Arial" w:hAnsi="Arial" w:cs="Arial"/>
          <w:i/>
          <w:sz w:val="22"/>
          <w:szCs w:val="22"/>
        </w:rPr>
        <w:t xml:space="preserve">Krajowego Programu Oczyszczania Ścieków Komunalnych </w:t>
      </w:r>
      <w:r w:rsidRPr="00FD432B">
        <w:rPr>
          <w:rFonts w:ascii="Arial" w:hAnsi="Arial" w:cs="Arial"/>
          <w:sz w:val="22"/>
          <w:szCs w:val="22"/>
        </w:rPr>
        <w:t xml:space="preserve"> i </w:t>
      </w:r>
      <w:r w:rsidRPr="00FD432B">
        <w:rPr>
          <w:rFonts w:ascii="Arial" w:hAnsi="Arial" w:cs="Arial"/>
          <w:i/>
          <w:sz w:val="22"/>
          <w:szCs w:val="22"/>
        </w:rPr>
        <w:t>Master Planem dla wdrażania Dyrektywy 91/271/EWG.</w:t>
      </w:r>
    </w:p>
    <w:p w:rsidR="00580A84" w:rsidRPr="00FD432B" w:rsidRDefault="00580A84" w:rsidP="00FD432B">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Zgodnie z przepisami dyrektywy ściekowej warunkami koniecznymi do spełnienia przez aglomeracje jej wymogów są następujące aspekty, do których należy się odnieść:</w:t>
      </w:r>
    </w:p>
    <w:p w:rsidR="00580A84" w:rsidRPr="00FD432B" w:rsidRDefault="00580A84" w:rsidP="00FD432B">
      <w:pPr>
        <w:numPr>
          <w:ilvl w:val="0"/>
          <w:numId w:val="3"/>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wydajność oczyszczalni ścieków w aglomeracjach, która musi odpowiadać ładunkowi generowanemu na ich obszarze;</w:t>
      </w:r>
    </w:p>
    <w:p w:rsidR="00580A84" w:rsidRPr="00FD432B" w:rsidRDefault="00580A84" w:rsidP="00FD432B">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 xml:space="preserve">standardy oczyszczania ścieków w oczyszczalniach, które uzależnione są od wielkości aglomeracji; jakość oczyszczonych ścieków odprowadzanych z każdej oczyszczalni musi być zgodna z wymaganiami ustawy </w:t>
      </w:r>
      <w:r w:rsidRPr="00FD432B">
        <w:rPr>
          <w:rFonts w:ascii="Arial" w:eastAsia="Times New Roman" w:hAnsi="Arial" w:cs="Arial"/>
          <w:i/>
        </w:rPr>
        <w:t>Prawo wodne</w:t>
      </w:r>
      <w:r w:rsidRPr="00FD432B">
        <w:rPr>
          <w:rFonts w:ascii="Arial" w:eastAsia="Times New Roman" w:hAnsi="Arial" w:cs="Arial"/>
          <w:vertAlign w:val="superscript"/>
        </w:rPr>
        <w:footnoteReference w:id="1"/>
      </w:r>
      <w:r w:rsidRPr="00FD432B">
        <w:rPr>
          <w:rFonts w:ascii="Arial" w:eastAsia="Times New Roman" w:hAnsi="Arial" w:cs="Arial"/>
          <w:vertAlign w:val="superscript"/>
        </w:rPr>
        <w:t xml:space="preserve"> </w:t>
      </w:r>
      <w:r w:rsidRPr="00FD432B">
        <w:rPr>
          <w:rFonts w:ascii="Arial" w:eastAsia="Times New Roman" w:hAnsi="Arial" w:cs="Arial"/>
        </w:rPr>
        <w:t xml:space="preserve"> </w:t>
      </w:r>
      <w:r w:rsidRPr="00FD432B">
        <w:rPr>
          <w:rFonts w:ascii="Arial" w:eastAsia="Times New Roman" w:hAnsi="Arial" w:cs="Arial"/>
        </w:rPr>
        <w:br/>
        <w:t xml:space="preserve">i rozporządzeniem MŚ </w:t>
      </w:r>
      <w:r w:rsidRPr="00FD432B">
        <w:rPr>
          <w:rFonts w:ascii="Arial" w:eastAsia="Times New Roman" w:hAnsi="Arial" w:cs="Arial"/>
          <w:i/>
        </w:rPr>
        <w:t>w sprawie warunków, jakie należy spełnić przy wprowadzaniu ścieków do wód lub do ziemi, oraz w sprawie substancji szczególnie szkodliwych dla środowiska wodnego</w:t>
      </w:r>
      <w:r w:rsidRPr="00FD432B">
        <w:rPr>
          <w:rFonts w:ascii="Arial" w:eastAsia="Times New Roman" w:hAnsi="Arial" w:cs="Arial"/>
          <w:vertAlign w:val="superscript"/>
        </w:rPr>
        <w:footnoteReference w:id="2"/>
      </w:r>
      <w:r w:rsidRPr="00FD432B">
        <w:rPr>
          <w:rFonts w:ascii="Arial" w:eastAsia="Times New Roman" w:hAnsi="Arial" w:cs="Arial"/>
        </w:rPr>
        <w:t>;</w:t>
      </w:r>
    </w:p>
    <w:p w:rsidR="00580A84" w:rsidRPr="00FD432B" w:rsidRDefault="00580A84" w:rsidP="00FD432B">
      <w:pPr>
        <w:numPr>
          <w:ilvl w:val="0"/>
          <w:numId w:val="2"/>
        </w:numPr>
        <w:suppressAutoHyphens/>
        <w:spacing w:after="0" w:line="240" w:lineRule="auto"/>
        <w:ind w:left="709" w:hanging="283"/>
        <w:jc w:val="both"/>
        <w:rPr>
          <w:rFonts w:ascii="Arial" w:eastAsia="Times New Roman" w:hAnsi="Arial" w:cs="Arial"/>
        </w:rPr>
      </w:pPr>
      <w:r w:rsidRPr="00FD432B">
        <w:rPr>
          <w:rFonts w:ascii="Arial" w:eastAsia="Times New Roman" w:hAnsi="Arial" w:cs="Arial"/>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zapewniających ten sam poziom ochrony środowiska;</w:t>
      </w:r>
    </w:p>
    <w:p w:rsidR="00580A84" w:rsidRPr="00FD432B" w:rsidRDefault="00580A84" w:rsidP="00FD432B">
      <w:pPr>
        <w:pStyle w:val="Akapitzlist"/>
        <w:numPr>
          <w:ilvl w:val="0"/>
          <w:numId w:val="11"/>
        </w:numPr>
        <w:suppressAutoHyphens/>
        <w:spacing w:after="0"/>
        <w:ind w:left="426" w:hanging="284"/>
        <w:rPr>
          <w:rFonts w:ascii="Arial" w:hAnsi="Arial" w:cs="Arial"/>
          <w:sz w:val="22"/>
          <w:szCs w:val="22"/>
        </w:rPr>
      </w:pPr>
      <w:r w:rsidRPr="00FD432B">
        <w:rPr>
          <w:rFonts w:ascii="Arial" w:hAnsi="Arial" w:cs="Arial"/>
          <w:sz w:val="22"/>
          <w:szCs w:val="22"/>
        </w:rPr>
        <w:t xml:space="preserve">Przedstawienie zastosowanych/planowanych rozwiązań dotyczących gospodarki osadami ściekowymi na oczyszczalniach z uwzględnieniem hierarchii postępowania </w:t>
      </w:r>
      <w:r w:rsidRPr="00FD432B">
        <w:rPr>
          <w:rFonts w:ascii="Arial" w:hAnsi="Arial" w:cs="Arial"/>
          <w:sz w:val="22"/>
          <w:szCs w:val="22"/>
        </w:rPr>
        <w:br/>
        <w:t xml:space="preserve">z odpadami wskazanymi w aktualnej wersji </w:t>
      </w:r>
      <w:r w:rsidRPr="00FD432B">
        <w:rPr>
          <w:rFonts w:ascii="Arial" w:hAnsi="Arial" w:cs="Arial"/>
          <w:i/>
          <w:sz w:val="22"/>
          <w:szCs w:val="22"/>
        </w:rPr>
        <w:t xml:space="preserve">Krajowego planu gospodarki odpadami lub Krajowego programu zapobiegania powstawaniu odpadów. </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6.2.</w:t>
      </w:r>
    </w:p>
    <w:p w:rsidR="00580A84" w:rsidRPr="00FD432B" w:rsidRDefault="00580A84" w:rsidP="00FD432B">
      <w:pPr>
        <w:suppressAutoHyphens/>
        <w:spacing w:after="0" w:line="240" w:lineRule="auto"/>
        <w:jc w:val="both"/>
        <w:rPr>
          <w:rFonts w:ascii="Arial" w:eastAsia="Times New Roman" w:hAnsi="Arial" w:cs="Arial"/>
          <w:i/>
        </w:rPr>
      </w:pPr>
      <w:r w:rsidRPr="00FD432B">
        <w:rPr>
          <w:rFonts w:ascii="Arial" w:eastAsia="Times New Roman" w:hAnsi="Arial" w:cs="Arial"/>
        </w:rPr>
        <w:t xml:space="preserve">Należy wyjaśnić, w jaki sposób projekt wpisuje się w realizację celów dyrektywy ramowej  </w:t>
      </w:r>
      <w:r w:rsidRPr="00FD432B">
        <w:rPr>
          <w:rFonts w:ascii="Arial" w:eastAsia="Times New Roman" w:hAnsi="Arial" w:cs="Arial"/>
        </w:rPr>
        <w:br/>
        <w:t xml:space="preserve">o odpadach na obszarze oddziaływania przedsięwzięcia. Należy wskazać zgodność wsparcia z </w:t>
      </w:r>
      <w:r w:rsidRPr="00FD432B">
        <w:rPr>
          <w:rFonts w:ascii="Arial" w:eastAsia="Times New Roman" w:hAnsi="Arial" w:cs="Arial"/>
          <w:i/>
        </w:rPr>
        <w:t>wojewódzkim planem gospodarki odpadami (wpgo),</w:t>
      </w:r>
      <w:r w:rsidRPr="00FD432B">
        <w:rPr>
          <w:rFonts w:ascii="Arial" w:eastAsia="Times New Roman" w:hAnsi="Arial" w:cs="Arial"/>
        </w:rPr>
        <w:t xml:space="preserve"> w tym stanowiącym załącznik do wpgo </w:t>
      </w:r>
      <w:r w:rsidRPr="00FD432B">
        <w:rPr>
          <w:rFonts w:ascii="Arial" w:eastAsia="Times New Roman" w:hAnsi="Arial" w:cs="Arial"/>
          <w:i/>
        </w:rPr>
        <w:t>planem inwestycyjnym w zakresie gospodarki odpadami</w:t>
      </w:r>
      <w:r w:rsidRPr="00FD432B">
        <w:rPr>
          <w:rFonts w:ascii="Arial" w:eastAsia="Times New Roman" w:hAnsi="Arial" w:cs="Arial"/>
        </w:rPr>
        <w:t xml:space="preserve"> </w:t>
      </w:r>
      <w:r w:rsidRPr="00FD432B">
        <w:rPr>
          <w:rFonts w:ascii="Arial" w:eastAsia="Times New Roman" w:hAnsi="Arial" w:cs="Arial"/>
          <w:i/>
        </w:rPr>
        <w:t>oraz Krajowym planem gospodarki odpadami.</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W szczególności należy opisać, w jaki sposób uwzględniona została hierarchia sposobów postępowania z odpadami, od zapobiegania powstawaniu odpadów, poprzez przygotowanie do ponownego użytku, recykling, inne procesy odzysku, po unieszkodliwianie.</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podać, w jaki sposób projekt przyczynia się do osiągnięcia celów w zakresie recyklingu, przygotowania do ponownego użycia i odzysku innymi metodami, określonych frakcji odpadów komunalnych oraz innych odpadów.  </w:t>
      </w:r>
    </w:p>
    <w:p w:rsidR="00580A84" w:rsidRPr="00FD432B" w:rsidRDefault="00580A84" w:rsidP="00FD432B">
      <w:pPr>
        <w:suppressAutoHyphens/>
        <w:spacing w:after="0" w:line="240" w:lineRule="auto"/>
        <w:jc w:val="both"/>
        <w:rPr>
          <w:rFonts w:ascii="Arial" w:hAnsi="Arial" w:cs="Arial"/>
        </w:rPr>
      </w:pPr>
      <w:r w:rsidRPr="00FD432B">
        <w:rPr>
          <w:rFonts w:ascii="Arial" w:hAnsi="Arial" w:cs="Arial"/>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p w:rsidR="00580A84" w:rsidRPr="00FD432B" w:rsidRDefault="00580A84" w:rsidP="00FD432B">
      <w:pPr>
        <w:suppressAutoHyphens/>
        <w:spacing w:after="0" w:line="240" w:lineRule="auto"/>
        <w:jc w:val="both"/>
        <w:rPr>
          <w:rFonts w:ascii="Arial" w:hAnsi="Arial" w:cs="Arial"/>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6.3.</w:t>
      </w:r>
    </w:p>
    <w:p w:rsidR="00580A84" w:rsidRPr="00FD432B" w:rsidRDefault="00580A84" w:rsidP="00FD432B">
      <w:pPr>
        <w:suppressAutoHyphens/>
        <w:spacing w:after="0" w:line="240" w:lineRule="auto"/>
        <w:jc w:val="both"/>
        <w:rPr>
          <w:rFonts w:ascii="Arial" w:eastAsia="Times New Roman" w:hAnsi="Arial" w:cs="Arial"/>
          <w:b/>
          <w:highlight w:val="yellow"/>
        </w:rPr>
      </w:pPr>
      <w:r w:rsidRPr="00FD432B">
        <w:rPr>
          <w:rFonts w:ascii="Arial" w:hAnsi="Arial" w:cs="Arial"/>
        </w:rPr>
        <w:t xml:space="preserve">Należy wykazać, że instalacja jest eksploatowana zgodnie z warunkami ustalonymi </w:t>
      </w:r>
      <w:r w:rsidRPr="00FD432B">
        <w:rPr>
          <w:rFonts w:ascii="Arial" w:hAnsi="Arial" w:cs="Arial"/>
        </w:rPr>
        <w:br/>
        <w:t>w obowiązującym pozwoleniu zintegrowanym uwzględniającym, tam gdzie ma to zastosowanie, graniczne wielkości emisyjne określone we właściwych Konkluzjach BAT.</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7.2.</w:t>
      </w:r>
    </w:p>
    <w:p w:rsidR="00580A84" w:rsidRPr="00FD432B" w:rsidRDefault="00580A84" w:rsidP="00FD432B">
      <w:pPr>
        <w:suppressAutoHyphens/>
        <w:spacing w:after="0" w:line="240" w:lineRule="auto"/>
        <w:jc w:val="both"/>
        <w:rPr>
          <w:rFonts w:ascii="Arial" w:eastAsia="Times New Roman" w:hAnsi="Arial" w:cs="Arial"/>
          <w:lang w:eastAsia="en-GB"/>
        </w:rPr>
      </w:pPr>
      <w:r w:rsidRPr="00FD432B">
        <w:rPr>
          <w:rFonts w:ascii="Arial" w:eastAsia="Times New Roman" w:hAnsi="Arial" w:cs="Arial"/>
          <w:lang w:eastAsia="en-GB"/>
        </w:rPr>
        <w:t>Jeśli dotyczy, należy wskazać odpowiednie decyzje administracyjne, w których organ administracji zawarł odpowiednie uzasadnienie i opisał rozwiązania na rzecz zmniejszenia lub skompensowania negatywnego oddziaływania na środowisko. Należy wskazać procentowy udział środków przeznaczonych na zmniejszenie lub skompensowanie strat dla środowiska naturalnego. Wystarczające jest wskazanie kosztu szacunkowego (w % i w PLN) w stosunku do kosztów całkowitych projektu.</w:t>
      </w:r>
    </w:p>
    <w:p w:rsidR="00580A84" w:rsidRPr="00FD432B" w:rsidRDefault="00580A84" w:rsidP="00FD432B">
      <w:pPr>
        <w:suppressAutoHyphens/>
        <w:spacing w:after="0" w:line="240" w:lineRule="auto"/>
        <w:jc w:val="both"/>
        <w:rPr>
          <w:rFonts w:ascii="Arial" w:eastAsia="Times New Roman" w:hAnsi="Arial" w:cs="Arial"/>
          <w:lang w:eastAsia="en-GB"/>
        </w:rPr>
      </w:pPr>
    </w:p>
    <w:p w:rsidR="00580A84" w:rsidRPr="00FD432B" w:rsidRDefault="00580A84" w:rsidP="00FD432B">
      <w:pPr>
        <w:suppressAutoHyphens/>
        <w:spacing w:after="0" w:line="240" w:lineRule="auto"/>
        <w:jc w:val="both"/>
        <w:rPr>
          <w:rFonts w:ascii="Arial" w:eastAsia="Times New Roman" w:hAnsi="Arial" w:cs="Arial"/>
          <w:b/>
          <w:lang w:eastAsia="en-GB"/>
        </w:rPr>
      </w:pPr>
      <w:r w:rsidRPr="00FD432B">
        <w:rPr>
          <w:rFonts w:ascii="Arial" w:eastAsia="Times New Roman" w:hAnsi="Arial" w:cs="Arial"/>
          <w:b/>
          <w:lang w:eastAsia="en-GB"/>
        </w:rPr>
        <w:t>8.1.</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opisać, w jaki sposób realizacja projektu wpisuje się w cele klimatyczne określone </w:t>
      </w:r>
      <w:r w:rsidRPr="00FD432B">
        <w:rPr>
          <w:rFonts w:ascii="Arial" w:hAnsi="Arial" w:cs="Arial"/>
        </w:rPr>
        <w:br/>
        <w:t xml:space="preserve">w Strategii Europa 2020, przy czym różne projekty w różnym stopniu i zakresie mogą przyczyniać się do wskazanych poniżej celów. </w:t>
      </w:r>
    </w:p>
    <w:p w:rsidR="00580A84" w:rsidRPr="00FD432B" w:rsidRDefault="00580A84" w:rsidP="00FD432B">
      <w:pPr>
        <w:tabs>
          <w:tab w:val="left" w:pos="6237"/>
        </w:tabs>
        <w:spacing w:after="0" w:line="240" w:lineRule="auto"/>
        <w:jc w:val="both"/>
        <w:rPr>
          <w:rFonts w:ascii="Arial" w:hAnsi="Arial" w:cs="Arial"/>
        </w:rPr>
      </w:pPr>
      <w:r w:rsidRPr="00FD432B">
        <w:rPr>
          <w:rFonts w:ascii="Arial" w:hAnsi="Arial" w:cs="Arial"/>
        </w:rPr>
        <w:t xml:space="preserve">Cele unijnej Strategii Europa 2020 w odniesieniu do zmian klimatu i związanego </w:t>
      </w:r>
      <w:r w:rsidRPr="00FD432B">
        <w:rPr>
          <w:rFonts w:ascii="Arial" w:hAnsi="Arial" w:cs="Arial"/>
        </w:rPr>
        <w:br/>
        <w:t xml:space="preserve">z zagadnieniami klimatycznymi zrównoważonego wykorzystania energii zostały sformułowane w odniesieniu do stanu na rok 2020 w sposób następujący: </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 xml:space="preserve">Ograniczenie emisji gazów cieplarnianych o 20 % w stosunku do poziomu z 1990 r. (lub nawet o 30 %, jeśli warunki będą sprzyjające) </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Osiągnięcie 20% poziomu energii pochodzącej ze źródeł odnawialnych</w:t>
      </w:r>
    </w:p>
    <w:p w:rsidR="00580A84" w:rsidRPr="00FD432B" w:rsidRDefault="00580A84" w:rsidP="00FD432B">
      <w:pPr>
        <w:pStyle w:val="Akapitzlist"/>
        <w:numPr>
          <w:ilvl w:val="0"/>
          <w:numId w:val="9"/>
        </w:numPr>
        <w:spacing w:after="0"/>
        <w:contextualSpacing/>
        <w:rPr>
          <w:rFonts w:ascii="Arial" w:hAnsi="Arial" w:cs="Arial"/>
          <w:sz w:val="22"/>
          <w:szCs w:val="22"/>
        </w:rPr>
      </w:pPr>
      <w:r w:rsidRPr="00FD432B">
        <w:rPr>
          <w:rFonts w:ascii="Arial" w:hAnsi="Arial" w:cs="Arial"/>
          <w:sz w:val="22"/>
          <w:szCs w:val="22"/>
        </w:rPr>
        <w:t>Wzrost efektywności energetycznej o 20 %.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przypadku Polski realizacja celu klimatycznego dotyczącego udziału energii odnawialnej będzie polegała na konieczności osiągnięcia w bilansie energii finalnej brutto poziomu 15% </w:t>
      </w:r>
      <w:r w:rsidRPr="00FD432B">
        <w:rPr>
          <w:rFonts w:ascii="Arial" w:hAnsi="Arial" w:cs="Arial"/>
        </w:rPr>
        <w:br/>
        <w:t>z OZE w 2020 r.</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pacing w:after="0" w:line="240" w:lineRule="auto"/>
        <w:jc w:val="both"/>
        <w:rPr>
          <w:rFonts w:ascii="Arial" w:hAnsi="Arial" w:cs="Arial"/>
        </w:rPr>
      </w:pPr>
      <w:r w:rsidRPr="00FD432B">
        <w:rPr>
          <w:rFonts w:ascii="Arial" w:hAnsi="Arial" w:cs="Arial"/>
        </w:rPr>
        <w:t>Polska w związku z przyjętym w pakiecie energetyczno-klimatycznym poziomem odniesienia z 2005 r., powinna do 2020 r. zredukować emisję gazów cieplarnianych w systemie handlu uprawnieniami do emisji EU ETS</w:t>
      </w:r>
      <w:r w:rsidRPr="00FD432B">
        <w:rPr>
          <w:rStyle w:val="Odwoanieprzypisudolnego"/>
          <w:rFonts w:ascii="Arial" w:hAnsi="Arial" w:cs="Arial"/>
        </w:rPr>
        <w:footnoteReference w:id="3"/>
      </w:r>
      <w:r w:rsidRPr="00FD432B">
        <w:rPr>
          <w:rFonts w:ascii="Arial" w:hAnsi="Arial" w:cs="Arial"/>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https://www.mos.gov.pl.</w:t>
      </w:r>
    </w:p>
    <w:p w:rsidR="00580A84" w:rsidRPr="00FD432B" w:rsidRDefault="00580A84" w:rsidP="00FD432B">
      <w:pPr>
        <w:spacing w:after="0" w:line="240" w:lineRule="auto"/>
        <w:jc w:val="both"/>
        <w:rPr>
          <w:rFonts w:ascii="Arial" w:hAnsi="Arial" w:cs="Arial"/>
        </w:rPr>
      </w:pPr>
    </w:p>
    <w:p w:rsidR="00580A84" w:rsidRPr="00FD432B" w:rsidRDefault="00580A84" w:rsidP="00FD432B">
      <w:pPr>
        <w:spacing w:after="0" w:line="240" w:lineRule="auto"/>
        <w:jc w:val="both"/>
        <w:rPr>
          <w:rFonts w:ascii="Arial" w:hAnsi="Arial" w:cs="Arial"/>
        </w:rPr>
      </w:pPr>
      <w:r w:rsidRPr="00FD432B">
        <w:rPr>
          <w:rFonts w:ascii="Arial" w:hAnsi="Arial" w:cs="Arial"/>
        </w:rPr>
        <w:t>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pStyle w:val="Default"/>
        <w:jc w:val="both"/>
        <w:rPr>
          <w:sz w:val="22"/>
          <w:szCs w:val="22"/>
        </w:rPr>
      </w:pPr>
      <w:r w:rsidRPr="00FD432B">
        <w:rPr>
          <w:sz w:val="22"/>
          <w:szCs w:val="22"/>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t>
      </w:r>
      <w:r w:rsidRPr="00FD432B">
        <w:rPr>
          <w:sz w:val="22"/>
          <w:szCs w:val="22"/>
        </w:rPr>
        <w:br/>
        <w:t xml:space="preserve">w odniesieniu do wsparcia w ramach różnych celów tematycznych. W celu określenia wysokości wydatków klimatycznych w danym projekcie, agregowanych następnie do celów sprawozdawczych przez instytucje zarządzające programami, należy: </w:t>
      </w:r>
    </w:p>
    <w:p w:rsidR="00580A84" w:rsidRPr="00FD432B" w:rsidRDefault="00580A84" w:rsidP="00FD432B">
      <w:pPr>
        <w:pStyle w:val="Default"/>
        <w:numPr>
          <w:ilvl w:val="0"/>
          <w:numId w:val="12"/>
        </w:numPr>
        <w:jc w:val="both"/>
        <w:rPr>
          <w:sz w:val="22"/>
          <w:szCs w:val="22"/>
        </w:rPr>
      </w:pPr>
      <w:r w:rsidRPr="00FD432B">
        <w:rPr>
          <w:sz w:val="22"/>
          <w:szCs w:val="22"/>
        </w:rPr>
        <w:t xml:space="preserve">wskazać kwoty </w:t>
      </w:r>
      <w:r w:rsidRPr="00FD432B">
        <w:rPr>
          <w:sz w:val="22"/>
          <w:szCs w:val="22"/>
          <w:u w:val="single"/>
        </w:rPr>
        <w:t>wydatków unijnych</w:t>
      </w:r>
      <w:r w:rsidRPr="00FD432B">
        <w:rPr>
          <w:sz w:val="22"/>
          <w:szCs w:val="22"/>
        </w:rPr>
        <w:t xml:space="preserve"> dla poszczególnych zakresów interwencji (dominującego i uzupełniającego)</w:t>
      </w:r>
    </w:p>
    <w:p w:rsidR="00580A84" w:rsidRPr="00FD432B" w:rsidRDefault="00580A84" w:rsidP="00FD432B">
      <w:pPr>
        <w:pStyle w:val="Default"/>
        <w:numPr>
          <w:ilvl w:val="0"/>
          <w:numId w:val="12"/>
        </w:numPr>
        <w:jc w:val="both"/>
        <w:rPr>
          <w:sz w:val="22"/>
          <w:szCs w:val="22"/>
        </w:rPr>
      </w:pPr>
      <w:r w:rsidRPr="00FD432B">
        <w:rPr>
          <w:sz w:val="22"/>
          <w:szCs w:val="22"/>
        </w:rPr>
        <w:t xml:space="preserve">przypisać współczynniki określone w tabeli 1 załącznika 1 do ww. rozporządzenia nr 215/2014 (współczynniki mogą wynieść 0%, 40% lub 100%) do odpowiednich kodów obszarów interwencji (dominującego i uzupełniającego) określonych dla projektu </w:t>
      </w:r>
      <w:r w:rsidRPr="00FD432B">
        <w:rPr>
          <w:sz w:val="22"/>
          <w:szCs w:val="22"/>
        </w:rPr>
        <w:br/>
        <w:t xml:space="preserve">w punkcie A.7. wniosku, a następnie </w:t>
      </w:r>
    </w:p>
    <w:p w:rsidR="00580A84" w:rsidRPr="00FD432B" w:rsidRDefault="00580A84" w:rsidP="00FD432B">
      <w:pPr>
        <w:pStyle w:val="Default"/>
        <w:numPr>
          <w:ilvl w:val="0"/>
          <w:numId w:val="12"/>
        </w:numPr>
        <w:jc w:val="both"/>
        <w:rPr>
          <w:sz w:val="22"/>
          <w:szCs w:val="22"/>
        </w:rPr>
      </w:pPr>
      <w:r w:rsidRPr="00FD432B">
        <w:rPr>
          <w:sz w:val="22"/>
          <w:szCs w:val="22"/>
        </w:rPr>
        <w:t xml:space="preserve">obliczyć odpowiednio kwoty </w:t>
      </w:r>
      <w:r w:rsidRPr="00FD432B">
        <w:rPr>
          <w:sz w:val="22"/>
          <w:szCs w:val="22"/>
          <w:u w:val="single"/>
        </w:rPr>
        <w:t>wydatków unijnych na cele związane ze zmianami klimatu</w:t>
      </w:r>
      <w:r w:rsidRPr="00FD432B">
        <w:rPr>
          <w:sz w:val="22"/>
          <w:szCs w:val="22"/>
        </w:rPr>
        <w:t xml:space="preserve"> w projekcie, odpowiadające poszczególnym obszarom interwencji oraz podać ich wielkość sumaryczną. W polu tekstowym winien być przedstawiony </w:t>
      </w:r>
      <w:r w:rsidRPr="00FD432B">
        <w:rPr>
          <w:sz w:val="22"/>
          <w:szCs w:val="22"/>
          <w:u w:val="single"/>
        </w:rPr>
        <w:t>tok postępowania</w:t>
      </w:r>
      <w:r w:rsidRPr="00FD432B">
        <w:rPr>
          <w:sz w:val="22"/>
          <w:szCs w:val="22"/>
        </w:rPr>
        <w:t xml:space="preserve"> przy wyliczaniu przedmiotowych wydatków.</w:t>
      </w:r>
    </w:p>
    <w:p w:rsidR="00580A84" w:rsidRPr="00FD432B" w:rsidRDefault="00580A84" w:rsidP="00FD432B">
      <w:pPr>
        <w:suppressAutoHyphens/>
        <w:spacing w:after="0" w:line="240" w:lineRule="auto"/>
        <w:jc w:val="both"/>
        <w:rPr>
          <w:rFonts w:ascii="Arial" w:eastAsia="Times New Roman" w:hAnsi="Arial" w:cs="Arial"/>
        </w:rPr>
      </w:pP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eastAsia="Times New Roman" w:hAnsi="Arial" w:cs="Arial"/>
        </w:rPr>
        <w:t>Dodatkowe informacje znajdują się w opracowanym przez Ministerstwo Środowiska dokumencie pt. „</w:t>
      </w:r>
      <w:r w:rsidRPr="00FD432B">
        <w:rPr>
          <w:rFonts w:ascii="Arial" w:eastAsia="Times New Roman" w:hAnsi="Arial" w:cs="Arial"/>
          <w:i/>
        </w:rPr>
        <w:t>Poradnik przygotowania inwestycji z uwzględnieniem zmian klimatu, ich łagodzenia i przystosowania do tych zmian oraz odporności na klęski żywiołowe</w:t>
      </w:r>
      <w:r w:rsidRPr="00FD432B">
        <w:rPr>
          <w:rFonts w:ascii="Arial" w:eastAsia="Times New Roman" w:hAnsi="Arial" w:cs="Arial"/>
        </w:rPr>
        <w:t>", który jest  udostępniony na portalu KLIMADA.</w:t>
      </w:r>
    </w:p>
    <w:p w:rsidR="00580A84" w:rsidRPr="00FD432B" w:rsidRDefault="00580A84" w:rsidP="00FD432B">
      <w:pPr>
        <w:suppressAutoHyphens/>
        <w:spacing w:after="0" w:line="240" w:lineRule="auto"/>
        <w:jc w:val="both"/>
        <w:rPr>
          <w:rFonts w:ascii="Arial" w:eastAsia="Times New Roman" w:hAnsi="Arial" w:cs="Arial"/>
          <w:b/>
        </w:rPr>
      </w:pPr>
    </w:p>
    <w:p w:rsidR="00580A84" w:rsidRPr="00FD432B" w:rsidRDefault="00580A84" w:rsidP="00FD432B">
      <w:pPr>
        <w:suppressAutoHyphens/>
        <w:spacing w:after="0" w:line="240" w:lineRule="auto"/>
        <w:jc w:val="both"/>
        <w:rPr>
          <w:rFonts w:ascii="Arial" w:eastAsia="Times New Roman" w:hAnsi="Arial" w:cs="Arial"/>
          <w:b/>
        </w:rPr>
      </w:pPr>
      <w:r w:rsidRPr="00FD432B">
        <w:rPr>
          <w:rFonts w:ascii="Arial" w:eastAsia="Times New Roman" w:hAnsi="Arial" w:cs="Arial"/>
          <w:b/>
        </w:rPr>
        <w:t>8.2.</w:t>
      </w:r>
    </w:p>
    <w:p w:rsidR="00580A84" w:rsidRPr="00FD432B" w:rsidRDefault="00580A84" w:rsidP="00FD432B">
      <w:pPr>
        <w:spacing w:after="0" w:line="240" w:lineRule="auto"/>
        <w:jc w:val="both"/>
        <w:rPr>
          <w:rFonts w:ascii="Arial" w:hAnsi="Arial" w:cs="Arial"/>
        </w:rPr>
      </w:pPr>
      <w:r w:rsidRPr="00FD432B">
        <w:rPr>
          <w:rFonts w:ascii="Arial" w:hAnsi="Arial" w:cs="Arial"/>
        </w:rPr>
        <w:t>Należy odnieść się do tych kwestii poruszanych w pytaniach pomocniczych, które odnoszą się do rodzaju i charakteru projektu. Należy wziąć pod uwagę wszystkie etapy przygotowania przedsięwzięcia, w tym OOŚ.</w:t>
      </w:r>
    </w:p>
    <w:p w:rsidR="00580A84" w:rsidRPr="00FD432B" w:rsidRDefault="00580A84" w:rsidP="00FD432B">
      <w:pPr>
        <w:spacing w:after="0" w:line="240" w:lineRule="auto"/>
        <w:jc w:val="both"/>
        <w:rPr>
          <w:rFonts w:ascii="Arial" w:hAnsi="Arial" w:cs="Arial"/>
          <w:strike/>
          <w:highlight w:val="yellow"/>
        </w:rPr>
      </w:pPr>
      <w:r w:rsidRPr="00FD432B">
        <w:rPr>
          <w:rFonts w:ascii="Arial" w:hAnsi="Arial" w:cs="Arial"/>
        </w:rPr>
        <w:t xml:space="preserve">W niniejszym punkcie należy podsumować wszystkie analizy opisane we wniosku </w:t>
      </w:r>
      <w:r w:rsidRPr="00FD432B">
        <w:rPr>
          <w:rFonts w:ascii="Arial" w:hAnsi="Arial" w:cs="Arial"/>
        </w:rPr>
        <w:br/>
        <w:t xml:space="preserve">o dofinansowanie, w tym w załącznikach do wniosku. </w:t>
      </w:r>
    </w:p>
    <w:p w:rsidR="00580A84" w:rsidRPr="00FD432B" w:rsidRDefault="00580A84" w:rsidP="00FD432B">
      <w:pPr>
        <w:spacing w:after="0" w:line="240" w:lineRule="auto"/>
        <w:jc w:val="both"/>
        <w:rPr>
          <w:rFonts w:ascii="Arial" w:hAnsi="Arial" w:cs="Arial"/>
          <w:highlight w:val="yellow"/>
        </w:rPr>
      </w:pP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Konieczne jest zatem w niniejszym punkcie, w sposób syntetyczny: </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wskazanie na zastosowaną metodę oszacowania emisji i związanych z tym kosztów gazów cieplarnianych (GHG) oraz sposobu włączenia ich do analizy ekonomicznej,</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w jaki sposób kwestie związane ze zmianami klimatu były uwzględniane na poszczególnych etapach przygotowania projektu,</w:t>
      </w:r>
    </w:p>
    <w:p w:rsidR="00580A84" w:rsidRPr="00FD432B" w:rsidRDefault="00580A84" w:rsidP="00FD432B">
      <w:pPr>
        <w:pStyle w:val="Akapitzlist"/>
        <w:numPr>
          <w:ilvl w:val="0"/>
          <w:numId w:val="10"/>
        </w:numPr>
        <w:spacing w:after="0"/>
        <w:contextualSpacing/>
        <w:rPr>
          <w:rFonts w:ascii="Arial" w:hAnsi="Arial" w:cs="Arial"/>
          <w:sz w:val="22"/>
          <w:szCs w:val="22"/>
        </w:rPr>
      </w:pPr>
      <w:r w:rsidRPr="00FD432B">
        <w:rPr>
          <w:rFonts w:ascii="Arial" w:hAnsi="Arial" w:cs="Arial"/>
          <w:sz w:val="22"/>
          <w:szCs w:val="22"/>
        </w:rPr>
        <w:t>opisanie analizy oraz oceny podatności, a także analizy i oceny ryzyka oraz procesu wyboru i sposobu włączenia do projektu opcji adaptacyjnych (z przywołaniem zastosowanej metody i uzyskanych wyników).</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t>
      </w:r>
      <w:r w:rsidRPr="00FD432B">
        <w:rPr>
          <w:rFonts w:ascii="Arial" w:hAnsi="Arial" w:cs="Arial"/>
        </w:rPr>
        <w:br/>
        <w:t>w obszarze zainteresowania których znajdują się przedsięwzięcia wchodzące w skład projektu, konieczne jest opisane zgodności i związków projektu z celami klimatycznymi tych strategii. W przypadku, gdy odpowiedź na to pytanie została udzielona w pkt 8.1., to w pkt 8.2 należy jedynie dać odpowiedni odnośnik do części 8.1.</w:t>
      </w:r>
    </w:p>
    <w:p w:rsidR="00580A84" w:rsidRPr="00FD432B" w:rsidRDefault="00580A84" w:rsidP="00FD432B">
      <w:pPr>
        <w:spacing w:after="0" w:line="240" w:lineRule="auto"/>
        <w:jc w:val="both"/>
        <w:rPr>
          <w:rFonts w:ascii="Arial" w:hAnsi="Arial" w:cs="Arial"/>
        </w:rPr>
      </w:pPr>
      <w:r w:rsidRPr="00FD432B">
        <w:rPr>
          <w:rFonts w:ascii="Arial" w:hAnsi="Arial" w:cs="Arial"/>
        </w:rPr>
        <w:t>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cieplarnianych. 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w:t>
      </w:r>
    </w:p>
    <w:p w:rsidR="00580A84" w:rsidRPr="00FD432B" w:rsidRDefault="00580A84" w:rsidP="00FD432B">
      <w:pPr>
        <w:spacing w:after="0" w:line="240" w:lineRule="auto"/>
        <w:jc w:val="both"/>
        <w:rPr>
          <w:rFonts w:ascii="Arial" w:hAnsi="Arial" w:cs="Arial"/>
        </w:rPr>
      </w:pPr>
      <w:r w:rsidRPr="00FD432B">
        <w:rPr>
          <w:rFonts w:ascii="Arial" w:hAnsi="Arial" w:cs="Arial"/>
        </w:rPr>
        <w:t>Konieczne jest jasne wykazanie powiązania konkretnych działań ze zidentyfikowanym wcześniej ryzykiem oraz przedstawienie odporności projektu po ich zastosowaniu. Należy także wskazać konkretne dane/źródła wykorzystane w analizie podatności i ryzyka, dotyczące scenariuszy zmian klimatu oraz opisać, na jakich etapach projektu przeprowadzono tę analizę i jakie zidentyfikowano ryzyka. Konieczna jest też odpowiedź na pytanie, czy wszelkie elementy infrastruktury zlokalizowane na obszarach zagrożonych powodzią (oceniane zgodnie z dyrektywą 2007/60/WE), są zaprojektowane w sposób, który uwzględnia to ryzyko.</w:t>
      </w:r>
    </w:p>
    <w:p w:rsidR="00580A84" w:rsidRPr="00FD432B" w:rsidRDefault="00580A84" w:rsidP="00FD432B">
      <w:pPr>
        <w:suppressAutoHyphens/>
        <w:spacing w:after="0" w:line="240" w:lineRule="auto"/>
        <w:jc w:val="both"/>
        <w:rPr>
          <w:rFonts w:ascii="Arial" w:eastAsia="Times New Roman" w:hAnsi="Arial" w:cs="Arial"/>
        </w:rPr>
      </w:pPr>
      <w:r w:rsidRPr="00FD432B">
        <w:rPr>
          <w:rFonts w:ascii="Arial" w:hAnsi="Arial" w:cs="Arial"/>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FD432B">
        <w:rPr>
          <w:rFonts w:ascii="Arial" w:eastAsia="Times New Roman" w:hAnsi="Arial" w:cs="Arial"/>
        </w:rPr>
        <w:t xml:space="preserve"> </w:t>
      </w:r>
      <w:r w:rsidRPr="00FD432B">
        <w:rPr>
          <w:rFonts w:ascii="Arial" w:hAnsi="Arial" w:cs="Arial"/>
        </w:rPr>
        <w:t xml:space="preserve">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580A84" w:rsidRPr="00FD432B" w:rsidRDefault="00580A84" w:rsidP="00FD432B">
      <w:pPr>
        <w:spacing w:after="0" w:line="240" w:lineRule="auto"/>
        <w:jc w:val="both"/>
        <w:rPr>
          <w:rFonts w:ascii="Arial" w:hAnsi="Arial" w:cs="Arial"/>
          <w:strike/>
        </w:rPr>
      </w:pPr>
      <w:r w:rsidRPr="00FD432B">
        <w:rPr>
          <w:rFonts w:ascii="Arial" w:hAnsi="Arial" w:cs="Arial"/>
        </w:rPr>
        <w:t>Należy również podsumować procedurę SOOŚ oraz OOŚ w kontekście zmian klimatycznych wykorzystując informacje zawarte w punktach 2 - 5. Odpowiadając na pytanie dotyczące uwzględnienia kwestii związanych ze zmianami klimatu w ocenie strategicznej i ocenie oddziaływania na środowisko, należy wyjaśnić i wskazać sposób uwzględnienia tych kwestii w dostępnej dokumentacji i procedurze obu ocen oraz wskazać organy zatwierdzające tę dokumentację.</w:t>
      </w:r>
    </w:p>
    <w:p w:rsidR="00580A84" w:rsidRPr="00FD432B" w:rsidRDefault="00580A84" w:rsidP="00FD432B">
      <w:pPr>
        <w:suppressAutoHyphens/>
        <w:spacing w:after="0" w:line="240" w:lineRule="auto"/>
        <w:jc w:val="both"/>
        <w:rPr>
          <w:rFonts w:ascii="Arial" w:eastAsia="Times New Roman" w:hAnsi="Arial" w:cs="Arial"/>
          <w:highlight w:val="yellow"/>
        </w:rPr>
      </w:pPr>
      <w:r w:rsidRPr="00FD432B">
        <w:rPr>
          <w:rFonts w:ascii="Arial" w:hAnsi="Arial" w:cs="Arial"/>
        </w:rPr>
        <w:t xml:space="preserve">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t>
      </w:r>
      <w:r w:rsidRPr="00FD432B">
        <w:rPr>
          <w:rFonts w:ascii="Arial" w:hAnsi="Arial" w:cs="Arial"/>
        </w:rPr>
        <w:br/>
        <w:t xml:space="preserve">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(w tym związane z terminem przeprowadzenia postępowania </w:t>
      </w:r>
      <w:r w:rsidRPr="00FD432B">
        <w:rPr>
          <w:rFonts w:ascii="Arial" w:hAnsi="Arial" w:cs="Arial"/>
        </w:rPr>
        <w:br/>
        <w:t xml:space="preserve">związanego z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w:t>
      </w:r>
    </w:p>
    <w:p w:rsidR="00580A84" w:rsidRPr="00FD432B" w:rsidRDefault="00580A84" w:rsidP="00FD432B">
      <w:pPr>
        <w:spacing w:after="0" w:line="240" w:lineRule="auto"/>
        <w:jc w:val="both"/>
        <w:rPr>
          <w:rFonts w:ascii="Arial" w:hAnsi="Arial" w:cs="Arial"/>
          <w:b/>
        </w:rPr>
      </w:pPr>
    </w:p>
    <w:p w:rsidR="00580A84" w:rsidRPr="00FD432B" w:rsidRDefault="00580A84" w:rsidP="00FD432B">
      <w:pPr>
        <w:spacing w:after="0" w:line="240" w:lineRule="auto"/>
        <w:rPr>
          <w:rFonts w:ascii="Arial" w:hAnsi="Arial" w:cs="Arial"/>
          <w:b/>
        </w:rPr>
      </w:pPr>
      <w:r w:rsidRPr="00FD432B">
        <w:rPr>
          <w:rFonts w:ascii="Arial" w:hAnsi="Arial" w:cs="Arial"/>
          <w:b/>
        </w:rPr>
        <w:t>9.</w:t>
      </w:r>
    </w:p>
    <w:p w:rsidR="00580A84" w:rsidRPr="00FD432B" w:rsidRDefault="00580A84" w:rsidP="00FD432B">
      <w:pPr>
        <w:spacing w:after="0" w:line="240" w:lineRule="auto"/>
        <w:jc w:val="both"/>
        <w:rPr>
          <w:rFonts w:ascii="Arial" w:hAnsi="Arial" w:cs="Arial"/>
        </w:rPr>
      </w:pPr>
      <w:r w:rsidRPr="00FD432B">
        <w:rPr>
          <w:rFonts w:ascii="Arial" w:hAnsi="Arial" w:cs="Arial"/>
        </w:rPr>
        <w:t xml:space="preserve">W przypadku gdy projekt jest realizowany przez wnioskodawcę i partnera/partnerów, </w:t>
      </w:r>
      <w:r w:rsidRPr="00FD432B">
        <w:rPr>
          <w:rFonts w:ascii="Arial" w:hAnsi="Arial" w:cs="Arial"/>
        </w:rPr>
        <w:br/>
        <w:t>w odniesieniu do których nie jest możliwe jednoznaczne zaznaczenie pól wyboru w punkcie 9.1. i 9.2., należy stosownie powielić wymagane punkty w celu udzielenia prawidłowej odpowiedzi. Oświadczenie, o którym mowa w punkcie 9.3. dołącza wyłącznie wnioskodawca/partner, który jest podmiotem wskazanym w punkcie 9.1. lub 9.2.</w:t>
      </w:r>
    </w:p>
    <w:p w:rsidR="00580A84" w:rsidRPr="00FD432B" w:rsidRDefault="00580A84" w:rsidP="00FD432B">
      <w:pPr>
        <w:spacing w:after="0" w:line="240" w:lineRule="auto"/>
        <w:rPr>
          <w:rFonts w:ascii="Arial" w:hAnsi="Arial" w:cs="Arial"/>
          <w:b/>
        </w:rPr>
      </w:pPr>
    </w:p>
    <w:p w:rsidR="00580A84" w:rsidRPr="00FD432B" w:rsidRDefault="00580A84" w:rsidP="00FD432B">
      <w:pPr>
        <w:spacing w:after="0" w:line="240" w:lineRule="auto"/>
        <w:rPr>
          <w:rFonts w:ascii="Arial" w:hAnsi="Arial" w:cs="Arial"/>
        </w:rPr>
      </w:pPr>
    </w:p>
    <w:p w:rsidR="005D14A7" w:rsidRPr="00FD432B" w:rsidRDefault="005D14A7" w:rsidP="00FD432B">
      <w:pPr>
        <w:spacing w:after="0" w:line="240" w:lineRule="auto"/>
        <w:rPr>
          <w:rFonts w:ascii="Arial" w:hAnsi="Arial" w:cs="Arial"/>
        </w:rPr>
      </w:pPr>
    </w:p>
    <w:sectPr w:rsidR="005D14A7" w:rsidRPr="00FD432B" w:rsidSect="004103DA">
      <w:headerReference w:type="default" r:id="rId7"/>
      <w:footerReference w:type="default" r:id="rId8"/>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0F5" w:rsidRDefault="00EB00F5" w:rsidP="00580A84">
      <w:pPr>
        <w:spacing w:after="0" w:line="240" w:lineRule="auto"/>
      </w:pPr>
      <w:r>
        <w:separator/>
      </w:r>
    </w:p>
  </w:endnote>
  <w:endnote w:type="continuationSeparator" w:id="0">
    <w:p w:rsidR="00EB00F5" w:rsidRDefault="00EB00F5" w:rsidP="00580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53599"/>
      <w:docPartObj>
        <w:docPartGallery w:val="Page Numbers (Bottom of Page)"/>
        <w:docPartUnique/>
      </w:docPartObj>
    </w:sdtPr>
    <w:sdtEndPr/>
    <w:sdtContent>
      <w:p w:rsidR="00571479" w:rsidRDefault="00965A2C">
        <w:pPr>
          <w:pStyle w:val="Stopka"/>
          <w:jc w:val="center"/>
        </w:pPr>
        <w:r>
          <w:fldChar w:fldCharType="begin"/>
        </w:r>
        <w:r>
          <w:instrText>PAGE   \* MERGEFORMAT</w:instrText>
        </w:r>
        <w:r>
          <w:fldChar w:fldCharType="separate"/>
        </w:r>
        <w:r w:rsidR="003919C3">
          <w:rPr>
            <w:noProof/>
          </w:rPr>
          <w:t>2</w:t>
        </w:r>
        <w:r>
          <w:fldChar w:fldCharType="end"/>
        </w:r>
      </w:p>
    </w:sdtContent>
  </w:sdt>
  <w:p w:rsidR="00571479" w:rsidRDefault="00391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0F5" w:rsidRDefault="00EB00F5" w:rsidP="00580A84">
      <w:pPr>
        <w:spacing w:after="0" w:line="240" w:lineRule="auto"/>
      </w:pPr>
      <w:r>
        <w:separator/>
      </w:r>
    </w:p>
  </w:footnote>
  <w:footnote w:type="continuationSeparator" w:id="0">
    <w:p w:rsidR="00EB00F5" w:rsidRDefault="00EB00F5" w:rsidP="00580A84">
      <w:pPr>
        <w:spacing w:after="0" w:line="240" w:lineRule="auto"/>
      </w:pPr>
      <w:r>
        <w:continuationSeparator/>
      </w:r>
    </w:p>
  </w:footnote>
  <w:footnote w:id="1">
    <w:p w:rsidR="00580A84" w:rsidRPr="002631DE" w:rsidRDefault="00580A84" w:rsidP="00580A84">
      <w:pPr>
        <w:pStyle w:val="Tekstprzypisudolnego"/>
        <w:rPr>
          <w:rFonts w:ascii="Arial" w:hAnsi="Arial" w:cs="Arial"/>
          <w:sz w:val="18"/>
          <w:szCs w:val="18"/>
        </w:rPr>
      </w:pPr>
      <w:r w:rsidRPr="002631DE">
        <w:rPr>
          <w:rStyle w:val="Odwoanieprzypisudolnego"/>
          <w:rFonts w:ascii="Arial" w:hAnsi="Arial" w:cs="Arial"/>
          <w:sz w:val="16"/>
          <w:szCs w:val="16"/>
        </w:rPr>
        <w:footnoteRef/>
      </w:r>
      <w:r w:rsidRPr="002631DE">
        <w:rPr>
          <w:rFonts w:ascii="Arial" w:hAnsi="Arial" w:cs="Arial"/>
          <w:sz w:val="16"/>
          <w:szCs w:val="16"/>
        </w:rPr>
        <w:t xml:space="preserve"> </w:t>
      </w:r>
      <w:r>
        <w:rPr>
          <w:rFonts w:ascii="Arial" w:hAnsi="Arial" w:cs="Arial"/>
          <w:sz w:val="16"/>
          <w:szCs w:val="16"/>
        </w:rPr>
        <w:tab/>
      </w:r>
      <w:r w:rsidR="00151635">
        <w:rPr>
          <w:rFonts w:ascii="Arial" w:hAnsi="Arial" w:cs="Arial"/>
          <w:sz w:val="18"/>
          <w:szCs w:val="18"/>
        </w:rPr>
        <w:t>Ustawa z dnia 20 lipca  2017 r. Prawo wodne (Dz. U. 2017.1566</w:t>
      </w:r>
      <w:r w:rsidR="0095643C">
        <w:rPr>
          <w:rFonts w:ascii="Arial" w:hAnsi="Arial" w:cs="Arial"/>
          <w:sz w:val="18"/>
          <w:szCs w:val="18"/>
        </w:rPr>
        <w:t>)</w:t>
      </w:r>
    </w:p>
  </w:footnote>
  <w:footnote w:id="2">
    <w:p w:rsidR="00580A84" w:rsidRPr="002459B5" w:rsidRDefault="00580A84" w:rsidP="00580A84">
      <w:pPr>
        <w:pStyle w:val="Tekstprzypisudolnego"/>
        <w:jc w:val="both"/>
        <w:rPr>
          <w:rFonts w:cs="Arial"/>
          <w:sz w:val="16"/>
          <w:szCs w:val="16"/>
        </w:rPr>
      </w:pPr>
      <w:r w:rsidRPr="002631DE">
        <w:rPr>
          <w:rStyle w:val="Odwoanieprzypisudolnego"/>
          <w:rFonts w:ascii="Arial" w:hAnsi="Arial" w:cs="Arial"/>
          <w:sz w:val="18"/>
          <w:szCs w:val="18"/>
        </w:rPr>
        <w:footnoteRef/>
      </w:r>
      <w:r w:rsidRPr="002631DE">
        <w:rPr>
          <w:rFonts w:ascii="Arial" w:hAnsi="Arial" w:cs="Arial"/>
          <w:sz w:val="18"/>
          <w:szCs w:val="18"/>
        </w:rPr>
        <w:t xml:space="preserve"> </w:t>
      </w:r>
      <w:r w:rsidRPr="002631DE">
        <w:rPr>
          <w:rFonts w:ascii="Arial" w:hAnsi="Arial" w:cs="Arial"/>
          <w:sz w:val="18"/>
          <w:szCs w:val="18"/>
        </w:rPr>
        <w:tab/>
      </w:r>
      <w:r w:rsidRPr="00D50296">
        <w:rPr>
          <w:rFonts w:ascii="Arial" w:hAnsi="Arial" w:cs="Arial"/>
          <w:sz w:val="18"/>
          <w:szCs w:val="18"/>
        </w:rPr>
        <w:t>Rozporządzenie Ministra Środowiska z dnia 18 listopada 2014 r. w sprawie warunków, jakie należy spełnić przy wprowadzaniu ścieków do wód lub do ziemi, oraz w sprawie substancji szczególnie szkodliwych dla środowiska wodnego</w:t>
      </w:r>
      <w:r w:rsidRPr="002631DE" w:rsidDel="00957441">
        <w:rPr>
          <w:rFonts w:ascii="Arial" w:hAnsi="Arial" w:cs="Arial"/>
          <w:sz w:val="18"/>
          <w:szCs w:val="18"/>
        </w:rPr>
        <w:t xml:space="preserve"> </w:t>
      </w:r>
      <w:r w:rsidRPr="002631DE">
        <w:rPr>
          <w:rFonts w:ascii="Arial" w:hAnsi="Arial" w:cs="Arial"/>
          <w:sz w:val="18"/>
          <w:szCs w:val="18"/>
        </w:rPr>
        <w:t>(</w:t>
      </w:r>
      <w:r w:rsidR="0095643C">
        <w:rPr>
          <w:rFonts w:ascii="Arial" w:hAnsi="Arial" w:cs="Arial"/>
          <w:sz w:val="18"/>
          <w:szCs w:val="18"/>
        </w:rPr>
        <w:t>Dz.U. 2014.</w:t>
      </w:r>
      <w:r w:rsidRPr="00D50296">
        <w:rPr>
          <w:rFonts w:ascii="Arial" w:hAnsi="Arial" w:cs="Arial"/>
          <w:sz w:val="18"/>
          <w:szCs w:val="18"/>
        </w:rPr>
        <w:t>1800</w:t>
      </w:r>
      <w:r w:rsidRPr="002631DE">
        <w:rPr>
          <w:rFonts w:ascii="Arial" w:hAnsi="Arial" w:cs="Arial"/>
          <w:sz w:val="18"/>
          <w:szCs w:val="18"/>
        </w:rPr>
        <w:t>)</w:t>
      </w:r>
    </w:p>
  </w:footnote>
  <w:footnote w:id="3">
    <w:p w:rsidR="00580A84" w:rsidRPr="00783BA0" w:rsidRDefault="00580A84" w:rsidP="00580A84">
      <w:pPr>
        <w:pStyle w:val="Tekstprzypisudolnego"/>
        <w:rPr>
          <w:rFonts w:ascii="Arial" w:hAnsi="Arial" w:cs="Arial"/>
          <w:sz w:val="18"/>
          <w:szCs w:val="18"/>
        </w:rPr>
      </w:pPr>
      <w:r w:rsidRPr="00783BA0">
        <w:rPr>
          <w:rStyle w:val="Odwoanieprzypisudolnego"/>
          <w:rFonts w:ascii="Arial" w:hAnsi="Arial" w:cs="Arial"/>
          <w:sz w:val="18"/>
          <w:szCs w:val="18"/>
        </w:rPr>
        <w:footnoteRef/>
      </w:r>
      <w:r w:rsidRPr="00783BA0">
        <w:rPr>
          <w:rFonts w:ascii="Arial" w:hAnsi="Arial" w:cs="Arial"/>
          <w:sz w:val="18"/>
          <w:szCs w:val="18"/>
        </w:rPr>
        <w:t xml:space="preserve"> ETS - Emission Trading Scheme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A1" w:rsidRDefault="003919C3" w:rsidP="00B34255">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7F5" w:rsidRPr="008247F5" w:rsidRDefault="008247F5" w:rsidP="008247F5">
    <w:pPr>
      <w:tabs>
        <w:tab w:val="center" w:pos="4536"/>
        <w:tab w:val="right" w:pos="9072"/>
      </w:tabs>
      <w:spacing w:after="0" w:line="240" w:lineRule="auto"/>
      <w:rPr>
        <w:rFonts w:ascii="Calibri" w:eastAsia="Calibri" w:hAnsi="Calibri" w:cs="Times New Roman"/>
        <w:lang w:eastAsia="en-US"/>
      </w:rPr>
    </w:pPr>
    <w:r>
      <w:rPr>
        <w:rFonts w:ascii="Calibri" w:eastAsia="Calibri" w:hAnsi="Calibri" w:cs="Times New Roman"/>
        <w:noProof/>
      </w:rPr>
      <w:drawing>
        <wp:anchor distT="0" distB="0" distL="114300" distR="114300" simplePos="0" relativeHeight="251659264" behindDoc="1" locked="0" layoutInCell="1" allowOverlap="1">
          <wp:simplePos x="0" y="0"/>
          <wp:positionH relativeFrom="column">
            <wp:posOffset>-295946</wp:posOffset>
          </wp:positionH>
          <wp:positionV relativeFrom="paragraph">
            <wp:posOffset>-113150</wp:posOffset>
          </wp:positionV>
          <wp:extent cx="6349042" cy="511433"/>
          <wp:effectExtent l="0" t="0" r="0" b="3175"/>
          <wp:wrapNone/>
          <wp:docPr id="4" name="Obraz 4"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pr-pl-podk-ueefr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45838" cy="51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03DA" w:rsidRPr="008247F5" w:rsidRDefault="003919C3" w:rsidP="008247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90F72"/>
    <w:multiLevelType w:val="hybridMultilevel"/>
    <w:tmpl w:val="66D22424"/>
    <w:lvl w:ilvl="0" w:tplc="D6E0FC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16C36F01"/>
    <w:multiLevelType w:val="hybridMultilevel"/>
    <w:tmpl w:val="97B8F29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8D15A9"/>
    <w:multiLevelType w:val="hybridMultilevel"/>
    <w:tmpl w:val="73CCFB16"/>
    <w:lvl w:ilvl="0" w:tplc="3D46161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1CFB70A8"/>
    <w:multiLevelType w:val="hybridMultilevel"/>
    <w:tmpl w:val="6E16BA74"/>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C0512E"/>
    <w:multiLevelType w:val="hybridMultilevel"/>
    <w:tmpl w:val="0B865B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C10618"/>
    <w:multiLevelType w:val="hybridMultilevel"/>
    <w:tmpl w:val="E4043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CE6C2F"/>
    <w:multiLevelType w:val="hybridMultilevel"/>
    <w:tmpl w:val="20362500"/>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22186B"/>
    <w:multiLevelType w:val="hybridMultilevel"/>
    <w:tmpl w:val="FF96C10E"/>
    <w:lvl w:ilvl="0" w:tplc="3D461612">
      <w:start w:val="1"/>
      <w:numFmt w:val="bullet"/>
      <w:lvlText w:val=""/>
      <w:lvlJc w:val="left"/>
      <w:pPr>
        <w:ind w:left="742" w:hanging="360"/>
      </w:pPr>
      <w:rPr>
        <w:rFonts w:ascii="Symbol" w:hAnsi="Symbol" w:hint="default"/>
      </w:rPr>
    </w:lvl>
    <w:lvl w:ilvl="1" w:tplc="04150003" w:tentative="1">
      <w:start w:val="1"/>
      <w:numFmt w:val="bullet"/>
      <w:lvlText w:val="o"/>
      <w:lvlJc w:val="left"/>
      <w:pPr>
        <w:ind w:left="1462" w:hanging="360"/>
      </w:pPr>
      <w:rPr>
        <w:rFonts w:ascii="Courier New" w:hAnsi="Courier New" w:cs="Courier New" w:hint="default"/>
      </w:rPr>
    </w:lvl>
    <w:lvl w:ilvl="2" w:tplc="04150005" w:tentative="1">
      <w:start w:val="1"/>
      <w:numFmt w:val="bullet"/>
      <w:lvlText w:val=""/>
      <w:lvlJc w:val="left"/>
      <w:pPr>
        <w:ind w:left="2182" w:hanging="360"/>
      </w:pPr>
      <w:rPr>
        <w:rFonts w:ascii="Wingdings" w:hAnsi="Wingdings" w:hint="default"/>
      </w:rPr>
    </w:lvl>
    <w:lvl w:ilvl="3" w:tplc="04150001" w:tentative="1">
      <w:start w:val="1"/>
      <w:numFmt w:val="bullet"/>
      <w:lvlText w:val=""/>
      <w:lvlJc w:val="left"/>
      <w:pPr>
        <w:ind w:left="2902" w:hanging="360"/>
      </w:pPr>
      <w:rPr>
        <w:rFonts w:ascii="Symbol" w:hAnsi="Symbol" w:hint="default"/>
      </w:rPr>
    </w:lvl>
    <w:lvl w:ilvl="4" w:tplc="04150003" w:tentative="1">
      <w:start w:val="1"/>
      <w:numFmt w:val="bullet"/>
      <w:lvlText w:val="o"/>
      <w:lvlJc w:val="left"/>
      <w:pPr>
        <w:ind w:left="3622" w:hanging="360"/>
      </w:pPr>
      <w:rPr>
        <w:rFonts w:ascii="Courier New" w:hAnsi="Courier New" w:cs="Courier New" w:hint="default"/>
      </w:rPr>
    </w:lvl>
    <w:lvl w:ilvl="5" w:tplc="04150005" w:tentative="1">
      <w:start w:val="1"/>
      <w:numFmt w:val="bullet"/>
      <w:lvlText w:val=""/>
      <w:lvlJc w:val="left"/>
      <w:pPr>
        <w:ind w:left="4342" w:hanging="360"/>
      </w:pPr>
      <w:rPr>
        <w:rFonts w:ascii="Wingdings" w:hAnsi="Wingdings" w:hint="default"/>
      </w:rPr>
    </w:lvl>
    <w:lvl w:ilvl="6" w:tplc="04150001" w:tentative="1">
      <w:start w:val="1"/>
      <w:numFmt w:val="bullet"/>
      <w:lvlText w:val=""/>
      <w:lvlJc w:val="left"/>
      <w:pPr>
        <w:ind w:left="5062" w:hanging="360"/>
      </w:pPr>
      <w:rPr>
        <w:rFonts w:ascii="Symbol" w:hAnsi="Symbol" w:hint="default"/>
      </w:rPr>
    </w:lvl>
    <w:lvl w:ilvl="7" w:tplc="04150003" w:tentative="1">
      <w:start w:val="1"/>
      <w:numFmt w:val="bullet"/>
      <w:lvlText w:val="o"/>
      <w:lvlJc w:val="left"/>
      <w:pPr>
        <w:ind w:left="5782" w:hanging="360"/>
      </w:pPr>
      <w:rPr>
        <w:rFonts w:ascii="Courier New" w:hAnsi="Courier New" w:cs="Courier New" w:hint="default"/>
      </w:rPr>
    </w:lvl>
    <w:lvl w:ilvl="8" w:tplc="04150005" w:tentative="1">
      <w:start w:val="1"/>
      <w:numFmt w:val="bullet"/>
      <w:lvlText w:val=""/>
      <w:lvlJc w:val="left"/>
      <w:pPr>
        <w:ind w:left="6502" w:hanging="360"/>
      </w:pPr>
      <w:rPr>
        <w:rFonts w:ascii="Wingdings" w:hAnsi="Wingdings" w:hint="default"/>
      </w:rPr>
    </w:lvl>
  </w:abstractNum>
  <w:abstractNum w:abstractNumId="8" w15:restartNumberingAfterBreak="0">
    <w:nsid w:val="2F1C075B"/>
    <w:multiLevelType w:val="hybridMultilevel"/>
    <w:tmpl w:val="B3E8415C"/>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15:restartNumberingAfterBreak="0">
    <w:nsid w:val="34820A4C"/>
    <w:multiLevelType w:val="hybridMultilevel"/>
    <w:tmpl w:val="8EF6F126"/>
    <w:lvl w:ilvl="0" w:tplc="3D4616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053BD7"/>
    <w:multiLevelType w:val="hybridMultilevel"/>
    <w:tmpl w:val="C592F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13B2838"/>
    <w:multiLevelType w:val="hybridMultilevel"/>
    <w:tmpl w:val="64EABB90"/>
    <w:lvl w:ilvl="0" w:tplc="D6E0FCC0">
      <w:start w:val="1"/>
      <w:numFmt w:val="bullet"/>
      <w:lvlText w:val=""/>
      <w:lvlJc w:val="left"/>
      <w:pPr>
        <w:ind w:left="1428" w:hanging="360"/>
      </w:pPr>
      <w:rPr>
        <w:rFonts w:ascii="Symbol" w:hAnsi="Symbol"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15:restartNumberingAfterBreak="0">
    <w:nsid w:val="429D548C"/>
    <w:multiLevelType w:val="hybridMultilevel"/>
    <w:tmpl w:val="7A1043F0"/>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5B813286"/>
    <w:multiLevelType w:val="hybridMultilevel"/>
    <w:tmpl w:val="1C949B38"/>
    <w:lvl w:ilvl="0" w:tplc="D6E0FC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5437C38"/>
    <w:multiLevelType w:val="hybridMultilevel"/>
    <w:tmpl w:val="54804C70"/>
    <w:lvl w:ilvl="0" w:tplc="4B22B54A">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65BA5D74"/>
    <w:multiLevelType w:val="hybridMultilevel"/>
    <w:tmpl w:val="D97288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C332D5"/>
    <w:multiLevelType w:val="hybridMultilevel"/>
    <w:tmpl w:val="9F2CC358"/>
    <w:lvl w:ilvl="0" w:tplc="04150017">
      <w:start w:val="1"/>
      <w:numFmt w:val="lowerLetter"/>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2ED2FB0"/>
    <w:multiLevelType w:val="hybridMultilevel"/>
    <w:tmpl w:val="B05C381A"/>
    <w:lvl w:ilvl="0" w:tplc="4B3483F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AA148F"/>
    <w:multiLevelType w:val="hybridMultilevel"/>
    <w:tmpl w:val="DC3EC3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16"/>
  </w:num>
  <w:num w:numId="5">
    <w:abstractNumId w:val="1"/>
  </w:num>
  <w:num w:numId="6">
    <w:abstractNumId w:val="13"/>
  </w:num>
  <w:num w:numId="7">
    <w:abstractNumId w:val="4"/>
  </w:num>
  <w:num w:numId="8">
    <w:abstractNumId w:val="3"/>
  </w:num>
  <w:num w:numId="9">
    <w:abstractNumId w:val="10"/>
  </w:num>
  <w:num w:numId="10">
    <w:abstractNumId w:val="5"/>
  </w:num>
  <w:num w:numId="11">
    <w:abstractNumId w:val="12"/>
  </w:num>
  <w:num w:numId="12">
    <w:abstractNumId w:val="18"/>
  </w:num>
  <w:num w:numId="13">
    <w:abstractNumId w:val="14"/>
  </w:num>
  <w:num w:numId="14">
    <w:abstractNumId w:val="0"/>
  </w:num>
  <w:num w:numId="15">
    <w:abstractNumId w:val="6"/>
  </w:num>
  <w:num w:numId="16">
    <w:abstractNumId w:val="17"/>
  </w:num>
  <w:num w:numId="17">
    <w:abstractNumId w:val="15"/>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84"/>
    <w:rsid w:val="00090F12"/>
    <w:rsid w:val="000B2D83"/>
    <w:rsid w:val="00151635"/>
    <w:rsid w:val="001F34F5"/>
    <w:rsid w:val="00217A1A"/>
    <w:rsid w:val="002227E3"/>
    <w:rsid w:val="002C4EBD"/>
    <w:rsid w:val="00346D50"/>
    <w:rsid w:val="0038520C"/>
    <w:rsid w:val="003919C3"/>
    <w:rsid w:val="00436516"/>
    <w:rsid w:val="004513ED"/>
    <w:rsid w:val="004903C4"/>
    <w:rsid w:val="00574E6D"/>
    <w:rsid w:val="00580A84"/>
    <w:rsid w:val="005D0A0A"/>
    <w:rsid w:val="005D14A7"/>
    <w:rsid w:val="0062487C"/>
    <w:rsid w:val="006A7355"/>
    <w:rsid w:val="006B6640"/>
    <w:rsid w:val="00736D8E"/>
    <w:rsid w:val="007817EC"/>
    <w:rsid w:val="007B3C4D"/>
    <w:rsid w:val="007C125B"/>
    <w:rsid w:val="008247F5"/>
    <w:rsid w:val="008550BB"/>
    <w:rsid w:val="008E04C0"/>
    <w:rsid w:val="009017BE"/>
    <w:rsid w:val="00934B3A"/>
    <w:rsid w:val="0095643C"/>
    <w:rsid w:val="00965A2C"/>
    <w:rsid w:val="00B3649E"/>
    <w:rsid w:val="00C46B22"/>
    <w:rsid w:val="00D11772"/>
    <w:rsid w:val="00E76210"/>
    <w:rsid w:val="00EB00F5"/>
    <w:rsid w:val="00EC403B"/>
    <w:rsid w:val="00F62464"/>
    <w:rsid w:val="00FD43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EC5D249-AF47-4E75-AD51-7B2A4C202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80A84"/>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E Fuﬂnotentext,Fuﬂnotentext Ursprung,Fußnotentext Ursprung,-E Fußnotentext,Footnote text,Tekst przypisu Znak Znak Znak Znak,Tekst przypisu Znak Znak Znak Znak Znak,Tekst przypisu Znak Znak Znak Znak Znak Znak Znak"/>
    <w:basedOn w:val="Normalny"/>
    <w:link w:val="TekstprzypisudolnegoZnak"/>
    <w:uiPriority w:val="99"/>
    <w:unhideWhenUsed/>
    <w:rsid w:val="00580A84"/>
    <w:pPr>
      <w:spacing w:after="0" w:line="240" w:lineRule="auto"/>
    </w:pPr>
    <w:rPr>
      <w:sz w:val="20"/>
      <w:szCs w:val="20"/>
    </w:rPr>
  </w:style>
  <w:style w:type="character" w:customStyle="1" w:styleId="TekstprzypisudolnegoZnak">
    <w:name w:val="Tekst przypisu dolnego Znak"/>
    <w:aliases w:val="Podrozdział Znak,-E Fuﬂnotentext Znak,Fuﬂnotentext Ursprung Znak,Fußnotentext Ursprung Znak,-E Fußnotentext Znak,Footnote text Znak,Tekst przypisu Znak Znak Znak Znak Znak1,Tekst przypisu Znak Znak Znak Znak Znak Znak"/>
    <w:basedOn w:val="Domylnaczcionkaakapitu"/>
    <w:link w:val="Tekstprzypisudolnego"/>
    <w:uiPriority w:val="99"/>
    <w:rsid w:val="00580A84"/>
    <w:rPr>
      <w:rFonts w:eastAsiaTheme="minorEastAsia"/>
      <w:sz w:val="20"/>
      <w:szCs w:val="20"/>
      <w:lang w:eastAsia="pl-PL"/>
    </w:rPr>
  </w:style>
  <w:style w:type="character" w:styleId="Odwoanieprzypisudolnego">
    <w:name w:val="footnote reference"/>
    <w:aliases w:val="Footnote Reference Number"/>
    <w:uiPriority w:val="99"/>
    <w:rsid w:val="00580A84"/>
    <w:rPr>
      <w:vertAlign w:val="superscript"/>
    </w:rPr>
  </w:style>
  <w:style w:type="paragraph" w:styleId="Nagwek">
    <w:name w:val="header"/>
    <w:basedOn w:val="Normalny"/>
    <w:link w:val="NagwekZnak"/>
    <w:uiPriority w:val="99"/>
    <w:unhideWhenUsed/>
    <w:rsid w:val="00580A8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0A84"/>
    <w:rPr>
      <w:rFonts w:eastAsiaTheme="minorEastAsia"/>
      <w:lang w:eastAsia="pl-PL"/>
    </w:rPr>
  </w:style>
  <w:style w:type="paragraph" w:styleId="Stopka">
    <w:name w:val="footer"/>
    <w:basedOn w:val="Normalny"/>
    <w:link w:val="StopkaZnak"/>
    <w:uiPriority w:val="99"/>
    <w:unhideWhenUsed/>
    <w:rsid w:val="00580A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0A84"/>
    <w:rPr>
      <w:rFonts w:eastAsiaTheme="minorEastAsia"/>
      <w:lang w:eastAsia="pl-PL"/>
    </w:rPr>
  </w:style>
  <w:style w:type="paragraph" w:customStyle="1" w:styleId="tresc">
    <w:name w:val="tresc"/>
    <w:basedOn w:val="Normalny"/>
    <w:rsid w:val="00580A84"/>
    <w:pPr>
      <w:spacing w:before="100" w:beforeAutospacing="1" w:after="100" w:afterAutospacing="1"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580A84"/>
    <w:pPr>
      <w:spacing w:after="240" w:line="240" w:lineRule="auto"/>
      <w:ind w:left="720"/>
      <w:jc w:val="both"/>
    </w:pPr>
    <w:rPr>
      <w:rFonts w:ascii="Times New Roman" w:eastAsia="Times New Roman" w:hAnsi="Times New Roman" w:cs="Times New Roman"/>
      <w:sz w:val="24"/>
      <w:szCs w:val="20"/>
      <w:lang w:eastAsia="en-GB"/>
    </w:rPr>
  </w:style>
  <w:style w:type="paragraph" w:customStyle="1" w:styleId="Default">
    <w:name w:val="Default"/>
    <w:rsid w:val="00580A84"/>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Tekstdymka">
    <w:name w:val="Balloon Text"/>
    <w:basedOn w:val="Normalny"/>
    <w:link w:val="TekstdymkaZnak"/>
    <w:uiPriority w:val="99"/>
    <w:semiHidden/>
    <w:unhideWhenUsed/>
    <w:rsid w:val="00580A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0A84"/>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12</Pages>
  <Words>5557</Words>
  <Characters>33345</Characters>
  <Application>Microsoft Office Word</Application>
  <DocSecurity>0</DocSecurity>
  <Lines>277</Lines>
  <Paragraphs>77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Małkowska</dc:creator>
  <cp:lastModifiedBy>Przybek Grzegorz</cp:lastModifiedBy>
  <cp:revision>8</cp:revision>
  <cp:lastPrinted>2018-01-15T10:20:00Z</cp:lastPrinted>
  <dcterms:created xsi:type="dcterms:W3CDTF">2018-01-15T10:23:00Z</dcterms:created>
  <dcterms:modified xsi:type="dcterms:W3CDTF">2018-06-07T12:36:00Z</dcterms:modified>
</cp:coreProperties>
</file>