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3C8BC" w14:textId="77777777" w:rsidR="00A02897" w:rsidRDefault="00A02897" w:rsidP="0082414F">
      <w:pPr>
        <w:jc w:val="right"/>
        <w:rPr>
          <w:rFonts w:cs="Arial"/>
          <w:b/>
          <w:sz w:val="20"/>
          <w:szCs w:val="20"/>
        </w:rPr>
      </w:pPr>
    </w:p>
    <w:p w14:paraId="516881B4" w14:textId="77777777" w:rsidR="00CC4C0A" w:rsidRDefault="00CC4C0A" w:rsidP="0082414F">
      <w:pPr>
        <w:jc w:val="right"/>
        <w:rPr>
          <w:rFonts w:cs="Arial"/>
          <w:b/>
          <w:sz w:val="20"/>
          <w:szCs w:val="20"/>
        </w:rPr>
      </w:pPr>
    </w:p>
    <w:p w14:paraId="3144B314" w14:textId="77777777" w:rsidR="00210557" w:rsidRDefault="0082414F" w:rsidP="0082414F">
      <w:pPr>
        <w:jc w:val="right"/>
        <w:rPr>
          <w:rFonts w:cs="Arial"/>
          <w:b/>
          <w:sz w:val="20"/>
          <w:szCs w:val="20"/>
        </w:rPr>
      </w:pPr>
      <w:r w:rsidRPr="0078183E">
        <w:rPr>
          <w:rFonts w:cs="Arial"/>
          <w:b/>
          <w:sz w:val="20"/>
          <w:szCs w:val="20"/>
        </w:rPr>
        <w:t xml:space="preserve">Załącznik </w:t>
      </w:r>
      <w:r w:rsidR="0078183E" w:rsidRPr="0078183E">
        <w:rPr>
          <w:rFonts w:cs="Arial"/>
          <w:b/>
          <w:sz w:val="20"/>
          <w:szCs w:val="20"/>
        </w:rPr>
        <w:t xml:space="preserve">nr 6 </w:t>
      </w:r>
      <w:r w:rsidR="003C7ADE">
        <w:rPr>
          <w:rFonts w:cs="Arial"/>
          <w:b/>
          <w:sz w:val="20"/>
          <w:szCs w:val="20"/>
        </w:rPr>
        <w:t>do Regulaminu naboru</w:t>
      </w:r>
    </w:p>
    <w:p w14:paraId="3396D431" w14:textId="77777777" w:rsidR="0082414F" w:rsidRPr="001D62D5" w:rsidRDefault="0082414F" w:rsidP="0082414F">
      <w:pPr>
        <w:jc w:val="right"/>
        <w:rPr>
          <w:rFonts w:cs="Arial"/>
          <w:b/>
          <w:sz w:val="20"/>
          <w:szCs w:val="20"/>
        </w:rPr>
      </w:pPr>
    </w:p>
    <w:p w14:paraId="3C57320B" w14:textId="77777777" w:rsidR="0078183E" w:rsidRDefault="0078183E" w:rsidP="00A34AA6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</w:rPr>
      </w:pPr>
    </w:p>
    <w:p w14:paraId="7827AC74" w14:textId="6DCF470E" w:rsidR="006A66DE" w:rsidRPr="00AD336A" w:rsidRDefault="002E4877" w:rsidP="00A34AA6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2"/>
        </w:rPr>
      </w:pPr>
      <w:r w:rsidRPr="00AD336A">
        <w:rPr>
          <w:rFonts w:cs="Arial"/>
          <w:b/>
          <w:bCs/>
          <w:sz w:val="24"/>
        </w:rPr>
        <w:t>Lista wskaźników na poziomie projektu dla dział</w:t>
      </w:r>
      <w:r w:rsidR="00BA79F6" w:rsidRPr="00AD336A">
        <w:rPr>
          <w:rFonts w:cs="Arial"/>
          <w:b/>
          <w:bCs/>
          <w:sz w:val="24"/>
        </w:rPr>
        <w:t xml:space="preserve">ania </w:t>
      </w:r>
      <w:r w:rsidR="00E52E35" w:rsidRPr="00E52E35">
        <w:rPr>
          <w:rFonts w:cs="Arial"/>
          <w:b/>
          <w:bCs/>
          <w:sz w:val="24"/>
        </w:rPr>
        <w:t>5.3 Infrastruktura kolejowa – projekty z zakresu taboru kolejowego</w:t>
      </w:r>
    </w:p>
    <w:p w14:paraId="250FE3E4" w14:textId="77777777" w:rsidR="006A66DE" w:rsidRDefault="00210557" w:rsidP="00CC4C0A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sz w:val="20"/>
          <w:szCs w:val="20"/>
        </w:rPr>
      </w:pPr>
      <w:r w:rsidRPr="00AD336A">
        <w:rPr>
          <w:rFonts w:cs="Arial"/>
          <w:b/>
          <w:sz w:val="24"/>
        </w:rPr>
        <w:t>Regionalnego Programu Operacyjnego Województwa Podkarpackiego na lata 2014</w:t>
      </w:r>
      <w:r w:rsidR="002E4877" w:rsidRPr="00AD336A">
        <w:rPr>
          <w:rFonts w:cs="Arial"/>
          <w:b/>
          <w:sz w:val="24"/>
        </w:rPr>
        <w:t xml:space="preserve"> </w:t>
      </w:r>
      <w:r w:rsidR="006A66DE" w:rsidRPr="00AD336A">
        <w:rPr>
          <w:rFonts w:cs="Arial"/>
          <w:b/>
          <w:sz w:val="24"/>
        </w:rPr>
        <w:t>–</w:t>
      </w:r>
      <w:r w:rsidR="002E4877" w:rsidRPr="00AD336A">
        <w:rPr>
          <w:rFonts w:cs="Arial"/>
          <w:b/>
          <w:sz w:val="24"/>
        </w:rPr>
        <w:t xml:space="preserve"> </w:t>
      </w:r>
      <w:r w:rsidRPr="00AD336A">
        <w:rPr>
          <w:rFonts w:cs="Arial"/>
          <w:b/>
          <w:sz w:val="24"/>
        </w:rPr>
        <w:t>2020</w:t>
      </w:r>
    </w:p>
    <w:p w14:paraId="6DA65E25" w14:textId="77777777" w:rsidR="00F926FF" w:rsidRPr="0028048D" w:rsidRDefault="00F926FF" w:rsidP="00466222">
      <w:pPr>
        <w:autoSpaceDE w:val="0"/>
        <w:autoSpaceDN w:val="0"/>
        <w:adjustRightInd w:val="0"/>
        <w:spacing w:before="120" w:line="360" w:lineRule="auto"/>
        <w:rPr>
          <w:rFonts w:cs="Arial"/>
          <w:b/>
          <w:sz w:val="20"/>
          <w:szCs w:val="20"/>
        </w:rPr>
      </w:pPr>
    </w:p>
    <w:tbl>
      <w:tblPr>
        <w:tblStyle w:val="Siatkatabelijasna"/>
        <w:tblW w:w="13922" w:type="dxa"/>
        <w:tblLayout w:type="fixed"/>
        <w:tblLook w:val="01E0" w:firstRow="1" w:lastRow="1" w:firstColumn="1" w:lastColumn="1" w:noHBand="0" w:noVBand="0"/>
        <w:tblCaption w:val="Lista wskaźników"/>
        <w:tblDescription w:val="Tabela zawiera wskaźniki produktu  oraz rezultatu dla działania 5.3 Infrastruktura kolejowa - projekty z zakresu taboru kolejowego."/>
      </w:tblPr>
      <w:tblGrid>
        <w:gridCol w:w="632"/>
        <w:gridCol w:w="1410"/>
        <w:gridCol w:w="2907"/>
        <w:gridCol w:w="7"/>
        <w:gridCol w:w="1028"/>
        <w:gridCol w:w="211"/>
        <w:gridCol w:w="7714"/>
        <w:gridCol w:w="13"/>
      </w:tblGrid>
      <w:tr w:rsidR="009F60B3" w:rsidRPr="00AD336A" w14:paraId="6B21F3BA" w14:textId="77777777" w:rsidTr="00DC3E7D">
        <w:trPr>
          <w:gridAfter w:val="1"/>
          <w:wAfter w:w="13" w:type="dxa"/>
          <w:trHeight w:val="45"/>
          <w:tblHeader/>
        </w:trPr>
        <w:tc>
          <w:tcPr>
            <w:tcW w:w="632" w:type="dxa"/>
          </w:tcPr>
          <w:p w14:paraId="227693C0" w14:textId="77777777" w:rsidR="009F60B3" w:rsidRPr="00AD336A" w:rsidRDefault="009F60B3" w:rsidP="00AA47EA">
            <w:pPr>
              <w:tabs>
                <w:tab w:val="left" w:pos="291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336A">
              <w:rPr>
                <w:rFonts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0" w:type="dxa"/>
          </w:tcPr>
          <w:p w14:paraId="3A0EEC37" w14:textId="77777777" w:rsidR="009F60B3" w:rsidRPr="00AD336A" w:rsidRDefault="009F60B3" w:rsidP="00F96BD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336A">
              <w:rPr>
                <w:rFonts w:cs="Arial"/>
                <w:b/>
                <w:bCs/>
                <w:sz w:val="20"/>
                <w:szCs w:val="20"/>
              </w:rPr>
              <w:t>Typ</w:t>
            </w:r>
          </w:p>
          <w:p w14:paraId="6988CE0C" w14:textId="77777777" w:rsidR="009F60B3" w:rsidRPr="00AD336A" w:rsidRDefault="009F60B3" w:rsidP="00F96BD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D336A">
              <w:rPr>
                <w:rFonts w:cs="Arial"/>
                <w:b/>
                <w:bCs/>
                <w:sz w:val="20"/>
                <w:szCs w:val="20"/>
              </w:rPr>
              <w:t>wskaźnika</w:t>
            </w:r>
          </w:p>
        </w:tc>
        <w:tc>
          <w:tcPr>
            <w:tcW w:w="2907" w:type="dxa"/>
          </w:tcPr>
          <w:p w14:paraId="40559AEB" w14:textId="77777777" w:rsidR="009F60B3" w:rsidRPr="00AD336A" w:rsidRDefault="009F60B3" w:rsidP="00A76B9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D336A">
              <w:rPr>
                <w:rFonts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246" w:type="dxa"/>
            <w:gridSpan w:val="3"/>
          </w:tcPr>
          <w:p w14:paraId="2F250D2D" w14:textId="77777777" w:rsidR="009F60B3" w:rsidRPr="00AD336A" w:rsidRDefault="009F60B3" w:rsidP="00A76B9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D336A">
              <w:rPr>
                <w:rFonts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7714" w:type="dxa"/>
          </w:tcPr>
          <w:p w14:paraId="3B774F17" w14:textId="77777777" w:rsidR="009F60B3" w:rsidRPr="00AD336A" w:rsidRDefault="009F60B3" w:rsidP="00A76B9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D336A">
              <w:rPr>
                <w:rFonts w:cs="Arial"/>
                <w:b/>
                <w:sz w:val="20"/>
                <w:szCs w:val="20"/>
              </w:rPr>
              <w:t>DEFINICJA</w:t>
            </w:r>
          </w:p>
        </w:tc>
      </w:tr>
      <w:tr w:rsidR="009F60B3" w:rsidRPr="00AD336A" w14:paraId="05268BF0" w14:textId="77777777" w:rsidTr="00DC3E7D">
        <w:trPr>
          <w:gridAfter w:val="1"/>
          <w:wAfter w:w="13" w:type="dxa"/>
          <w:trHeight w:val="45"/>
        </w:trPr>
        <w:tc>
          <w:tcPr>
            <w:tcW w:w="13909" w:type="dxa"/>
            <w:gridSpan w:val="7"/>
          </w:tcPr>
          <w:p w14:paraId="109026A0" w14:textId="77777777" w:rsidR="009F60B3" w:rsidRPr="00AD336A" w:rsidRDefault="009F60B3" w:rsidP="00FB05A8">
            <w:pPr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AD336A">
              <w:rPr>
                <w:rFonts w:cs="Arial"/>
                <w:b/>
                <w:sz w:val="28"/>
                <w:szCs w:val="28"/>
              </w:rPr>
              <w:t>WSKAŹNIKI PRODUKTU</w:t>
            </w:r>
          </w:p>
        </w:tc>
      </w:tr>
      <w:tr w:rsidR="0038434E" w:rsidRPr="00BB7898" w14:paraId="0E6FCEF2" w14:textId="77777777" w:rsidTr="00DC3E7D">
        <w:trPr>
          <w:gridAfter w:val="1"/>
          <w:wAfter w:w="13" w:type="dxa"/>
          <w:trHeight w:val="145"/>
        </w:trPr>
        <w:tc>
          <w:tcPr>
            <w:tcW w:w="632" w:type="dxa"/>
          </w:tcPr>
          <w:p w14:paraId="32D3386D" w14:textId="77777777" w:rsidR="0038434E" w:rsidRPr="00AD336A" w:rsidRDefault="0038434E" w:rsidP="00FB05A8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410" w:type="dxa"/>
          </w:tcPr>
          <w:p w14:paraId="6C2876F3" w14:textId="77777777" w:rsidR="0038434E" w:rsidRDefault="00EE6C2B" w:rsidP="00FB05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Kluczowy</w:t>
            </w:r>
          </w:p>
          <w:p w14:paraId="676841CF" w14:textId="77777777" w:rsidR="00294D03" w:rsidRPr="00AD336A" w:rsidRDefault="00294D03" w:rsidP="00FB05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WLWK</w:t>
            </w:r>
          </w:p>
        </w:tc>
        <w:tc>
          <w:tcPr>
            <w:tcW w:w="2907" w:type="dxa"/>
          </w:tcPr>
          <w:p w14:paraId="25B19404" w14:textId="514D9E5F" w:rsidR="0038434E" w:rsidRPr="00437F6B" w:rsidRDefault="00DA2658" w:rsidP="00DA2658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Liczba zakupionych jednostek taboru kolejowego </w:t>
            </w:r>
            <w:r w:rsidR="003F79AF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szt</w:t>
            </w:r>
            <w:r w:rsidR="00262328">
              <w:rPr>
                <w:rFonts w:cs="Arial"/>
                <w:sz w:val="20"/>
                <w:szCs w:val="20"/>
              </w:rPr>
              <w:t>.</w:t>
            </w:r>
            <w:r w:rsidR="003F79AF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46" w:type="dxa"/>
            <w:gridSpan w:val="3"/>
          </w:tcPr>
          <w:p w14:paraId="288833EC" w14:textId="2B9D6C39" w:rsidR="0038434E" w:rsidRPr="00437F6B" w:rsidRDefault="0084060F" w:rsidP="00FB05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</w:t>
            </w:r>
            <w:r w:rsidR="00DA2658">
              <w:rPr>
                <w:rFonts w:cs="Arial"/>
                <w:sz w:val="20"/>
                <w:szCs w:val="20"/>
              </w:rPr>
              <w:t>szt</w:t>
            </w:r>
            <w:r w:rsidR="0026232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7714" w:type="dxa"/>
          </w:tcPr>
          <w:p w14:paraId="6FB12EF2" w14:textId="77777777" w:rsidR="00262328" w:rsidRPr="00262328" w:rsidRDefault="00262328" w:rsidP="00262328">
            <w:pPr>
              <w:pStyle w:val="Default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328">
              <w:rPr>
                <w:rFonts w:ascii="Arial" w:hAnsi="Arial" w:cs="Arial"/>
                <w:sz w:val="20"/>
                <w:szCs w:val="20"/>
              </w:rPr>
              <w:t xml:space="preserve">Liczba zakupionych pojazdów kolejowych taboru zwykłego, tj. przeznaczonych do przewozu osób i rzeczy oraz przystosowanych do kursowania w składzie pociągu na ogólnych zasadach. </w:t>
            </w:r>
          </w:p>
          <w:p w14:paraId="7B62DE3D" w14:textId="77777777" w:rsidR="00262328" w:rsidRPr="00262328" w:rsidRDefault="00262328" w:rsidP="00262328">
            <w:pPr>
              <w:pStyle w:val="Default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328">
              <w:rPr>
                <w:rFonts w:ascii="Arial" w:hAnsi="Arial" w:cs="Arial"/>
                <w:sz w:val="20"/>
                <w:szCs w:val="20"/>
              </w:rPr>
              <w:t>Do pojazdów taboru zwykłego zalicza się pojazdy trakcyjne (lokomotywy, zespoły trakcyjne i inne pojazdy silnikowe) lub wagony (osobowe lub towarowe, w tym naczepy siodłowe na wózkach kolejowych).</w:t>
            </w:r>
          </w:p>
          <w:p w14:paraId="1AF4D2C2" w14:textId="77777777" w:rsidR="00262328" w:rsidRPr="00262328" w:rsidRDefault="00262328" w:rsidP="00262328">
            <w:pPr>
              <w:pStyle w:val="Default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328">
              <w:rPr>
                <w:rFonts w:ascii="Arial" w:hAnsi="Arial" w:cs="Arial"/>
                <w:sz w:val="20"/>
                <w:szCs w:val="20"/>
              </w:rPr>
              <w:t>Wartość wskaźnika jest sumą wszystkich zakupionych pojazdów kolejowych.</w:t>
            </w:r>
          </w:p>
          <w:p w14:paraId="3D46150C" w14:textId="77777777" w:rsidR="00262328" w:rsidRPr="00262328" w:rsidRDefault="00262328" w:rsidP="00262328">
            <w:pPr>
              <w:pStyle w:val="Default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328">
              <w:rPr>
                <w:rFonts w:ascii="Arial" w:hAnsi="Arial" w:cs="Arial"/>
                <w:sz w:val="20"/>
                <w:szCs w:val="20"/>
              </w:rPr>
              <w:t xml:space="preserve">W przypadku wieloczłonowych elektrycznych zespołów trakcyjnych lub składów zespolonych, poszczególne człony liczy się jako pojedyncze sztuki taboru. </w:t>
            </w:r>
          </w:p>
          <w:p w14:paraId="6B8ECC83" w14:textId="77777777" w:rsidR="008F1370" w:rsidRDefault="00262328" w:rsidP="00262328">
            <w:pPr>
              <w:spacing w:before="60" w:after="60"/>
              <w:jc w:val="both"/>
              <w:rPr>
                <w:rFonts w:cs="Arial"/>
                <w:i/>
                <w:sz w:val="20"/>
                <w:szCs w:val="20"/>
              </w:rPr>
            </w:pPr>
            <w:r w:rsidRPr="00262328">
              <w:rPr>
                <w:rFonts w:cs="Arial"/>
                <w:sz w:val="20"/>
                <w:szCs w:val="20"/>
              </w:rPr>
              <w:t xml:space="preserve">Konieczność monitorowania razem ze wskaźnikiem powiązanym </w:t>
            </w:r>
            <w:r w:rsidRPr="00262328">
              <w:rPr>
                <w:rFonts w:cs="Arial"/>
                <w:i/>
                <w:sz w:val="20"/>
                <w:szCs w:val="20"/>
              </w:rPr>
              <w:t xml:space="preserve">Pojemność zakupionych </w:t>
            </w:r>
            <w:r w:rsidR="00C306A9" w:rsidRPr="00C306A9">
              <w:rPr>
                <w:rFonts w:cs="Arial"/>
                <w:i/>
                <w:sz w:val="20"/>
                <w:szCs w:val="20"/>
              </w:rPr>
              <w:t>jednostek taboru kolejowego</w:t>
            </w:r>
            <w:r w:rsidRPr="00262328">
              <w:rPr>
                <w:rFonts w:cs="Arial"/>
                <w:i/>
                <w:sz w:val="20"/>
                <w:szCs w:val="20"/>
              </w:rPr>
              <w:t>.</w:t>
            </w:r>
          </w:p>
          <w:p w14:paraId="0F2EB8AF" w14:textId="52121305" w:rsidR="00207B34" w:rsidRPr="00207B34" w:rsidRDefault="00207B34" w:rsidP="00207B3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Wskaźnik jest równoznaczny ze wskaźnikiem „Liczba zakupionych pojazdów kolejowych [szt.]” wskazanym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 xml:space="preserve"> w SZOOP.</w:t>
            </w:r>
          </w:p>
        </w:tc>
      </w:tr>
      <w:tr w:rsidR="005C4472" w:rsidRPr="006256C9" w14:paraId="19870E3D" w14:textId="77777777" w:rsidTr="00DC3E7D">
        <w:trPr>
          <w:gridAfter w:val="1"/>
          <w:wAfter w:w="13" w:type="dxa"/>
          <w:trHeight w:val="169"/>
        </w:trPr>
        <w:tc>
          <w:tcPr>
            <w:tcW w:w="632" w:type="dxa"/>
          </w:tcPr>
          <w:p w14:paraId="2CC805E7" w14:textId="7189C886" w:rsidR="005C4472" w:rsidRPr="00437F6B" w:rsidRDefault="005F6F60" w:rsidP="00FB05A8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5C4472" w:rsidRPr="00437F6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410" w:type="dxa"/>
          </w:tcPr>
          <w:p w14:paraId="109748E9" w14:textId="77777777" w:rsidR="005C4472" w:rsidRDefault="00EE6C2B" w:rsidP="00FB05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Kluczowy</w:t>
            </w:r>
          </w:p>
          <w:p w14:paraId="16D4CBE5" w14:textId="77777777" w:rsidR="00294D03" w:rsidRPr="008C4378" w:rsidRDefault="00294D03" w:rsidP="00FB05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WLWK</w:t>
            </w:r>
          </w:p>
        </w:tc>
        <w:tc>
          <w:tcPr>
            <w:tcW w:w="2907" w:type="dxa"/>
          </w:tcPr>
          <w:p w14:paraId="7C9EBAF9" w14:textId="2C9A4340" w:rsidR="005C4472" w:rsidRPr="008C4378" w:rsidRDefault="00262328" w:rsidP="00FB05A8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4E5720">
              <w:rPr>
                <w:rFonts w:cs="Arial"/>
                <w:sz w:val="20"/>
                <w:szCs w:val="20"/>
              </w:rPr>
              <w:t xml:space="preserve">Pojemność </w:t>
            </w:r>
            <w:r w:rsidR="00C306A9">
              <w:rPr>
                <w:rFonts w:cs="Arial"/>
                <w:sz w:val="20"/>
                <w:szCs w:val="20"/>
              </w:rPr>
              <w:t xml:space="preserve">zakupionych jednostek taboru kolejowego </w:t>
            </w:r>
            <w:r>
              <w:rPr>
                <w:rFonts w:cs="Arial"/>
                <w:sz w:val="20"/>
                <w:szCs w:val="20"/>
              </w:rPr>
              <w:t>[osoby]</w:t>
            </w:r>
          </w:p>
        </w:tc>
        <w:tc>
          <w:tcPr>
            <w:tcW w:w="1246" w:type="dxa"/>
            <w:gridSpan w:val="3"/>
          </w:tcPr>
          <w:p w14:paraId="7077D7CB" w14:textId="0F2D8008" w:rsidR="005C4472" w:rsidRPr="008C4378" w:rsidRDefault="00262328" w:rsidP="00FB05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[os</w:t>
            </w:r>
            <w:r w:rsidR="005C4472" w:rsidRPr="008C4378">
              <w:rPr>
                <w:rFonts w:cs="Arial"/>
                <w:sz w:val="20"/>
                <w:szCs w:val="20"/>
              </w:rPr>
              <w:t>.]</w:t>
            </w:r>
          </w:p>
        </w:tc>
        <w:tc>
          <w:tcPr>
            <w:tcW w:w="7714" w:type="dxa"/>
          </w:tcPr>
          <w:p w14:paraId="61E2E556" w14:textId="77777777" w:rsidR="00262328" w:rsidRPr="00262328" w:rsidRDefault="00262328" w:rsidP="0026232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262328">
              <w:rPr>
                <w:rFonts w:cs="Arial"/>
                <w:sz w:val="20"/>
                <w:szCs w:val="20"/>
              </w:rPr>
              <w:t>Łączna liczba miejsc siedzących i stojących przeznaczonych do użytku pasażerów w zakupionych wagonach osobowych.</w:t>
            </w:r>
          </w:p>
          <w:p w14:paraId="58850994" w14:textId="77777777" w:rsidR="00262328" w:rsidRPr="00262328" w:rsidRDefault="00262328" w:rsidP="0026232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262328">
              <w:rPr>
                <w:rFonts w:cs="Arial"/>
                <w:sz w:val="20"/>
                <w:szCs w:val="20"/>
              </w:rPr>
              <w:t>Wartość wskaźnika jest sumą miejsc siedzących i stojących przeznaczonych do użytku pasażerów we wszystkich zakupionych wagonach osobowych. Liczbę miejsc należy podawać zgodnie ze specyfikacją techniczną pojazdu.</w:t>
            </w:r>
          </w:p>
          <w:p w14:paraId="758684BC" w14:textId="77777777" w:rsidR="005C4472" w:rsidRDefault="00262328" w:rsidP="00262328">
            <w:pPr>
              <w:spacing w:before="60" w:after="60"/>
              <w:jc w:val="both"/>
              <w:rPr>
                <w:rFonts w:cs="Arial"/>
                <w:i/>
                <w:sz w:val="20"/>
                <w:szCs w:val="20"/>
              </w:rPr>
            </w:pPr>
            <w:r w:rsidRPr="00262328">
              <w:rPr>
                <w:rFonts w:cs="Arial"/>
                <w:sz w:val="20"/>
                <w:szCs w:val="20"/>
              </w:rPr>
              <w:t xml:space="preserve">Konieczność monitorowania razem ze wskaźnikiem powiązanym </w:t>
            </w:r>
            <w:r w:rsidRPr="00262328">
              <w:rPr>
                <w:rFonts w:cs="Arial"/>
                <w:i/>
                <w:sz w:val="20"/>
                <w:szCs w:val="20"/>
              </w:rPr>
              <w:t xml:space="preserve">Liczba zakupionych </w:t>
            </w:r>
            <w:r w:rsidR="00C306A9" w:rsidRPr="00C306A9">
              <w:rPr>
                <w:rFonts w:cs="Arial"/>
                <w:i/>
                <w:sz w:val="20"/>
                <w:szCs w:val="20"/>
              </w:rPr>
              <w:t>jednostek taboru kolejowego</w:t>
            </w:r>
            <w:r w:rsidRPr="00262328">
              <w:rPr>
                <w:rFonts w:cs="Arial"/>
                <w:i/>
                <w:sz w:val="20"/>
                <w:szCs w:val="20"/>
              </w:rPr>
              <w:t>.</w:t>
            </w:r>
          </w:p>
          <w:p w14:paraId="409E71F8" w14:textId="7D407CF2" w:rsidR="00207B34" w:rsidRPr="00207B34" w:rsidRDefault="00207B34" w:rsidP="00207B3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Wskaźnik jest równoznaczny ze wskaźnikiem „</w:t>
            </w:r>
            <w:r w:rsidRPr="004E5720">
              <w:rPr>
                <w:rFonts w:cs="Arial"/>
                <w:sz w:val="20"/>
                <w:szCs w:val="20"/>
              </w:rPr>
              <w:t xml:space="preserve">Pojemność </w:t>
            </w:r>
            <w:r>
              <w:rPr>
                <w:rFonts w:cs="Arial"/>
                <w:sz w:val="20"/>
                <w:szCs w:val="20"/>
              </w:rPr>
              <w:t xml:space="preserve">zakupionych </w:t>
            </w:r>
            <w:r>
              <w:rPr>
                <w:rFonts w:cs="Arial"/>
                <w:sz w:val="20"/>
                <w:szCs w:val="20"/>
              </w:rPr>
              <w:t xml:space="preserve">wagonów osobowych </w:t>
            </w:r>
            <w:r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osoby</w:t>
            </w:r>
            <w:r>
              <w:rPr>
                <w:rFonts w:cs="Arial"/>
                <w:sz w:val="20"/>
                <w:szCs w:val="20"/>
              </w:rPr>
              <w:t>]</w:t>
            </w:r>
            <w:r>
              <w:rPr>
                <w:rFonts w:cs="Arial"/>
                <w:sz w:val="20"/>
                <w:szCs w:val="20"/>
              </w:rPr>
              <w:t>” wskazanym</w:t>
            </w:r>
            <w:r>
              <w:rPr>
                <w:rFonts w:cs="Arial"/>
                <w:sz w:val="20"/>
                <w:szCs w:val="20"/>
              </w:rPr>
              <w:t xml:space="preserve"> w SZOOP.</w:t>
            </w:r>
          </w:p>
        </w:tc>
      </w:tr>
      <w:tr w:rsidR="00CA0525" w:rsidRPr="00BB7898" w14:paraId="45B2505C" w14:textId="77777777" w:rsidTr="00DC3E7D">
        <w:trPr>
          <w:gridAfter w:val="1"/>
          <w:wAfter w:w="13" w:type="dxa"/>
          <w:trHeight w:val="3676"/>
        </w:trPr>
        <w:tc>
          <w:tcPr>
            <w:tcW w:w="632" w:type="dxa"/>
          </w:tcPr>
          <w:p w14:paraId="1B5E1DE8" w14:textId="74182665" w:rsidR="00CA0525" w:rsidRDefault="005F6F60" w:rsidP="00CA052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3</w:t>
            </w:r>
            <w:r w:rsidR="00CA052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410" w:type="dxa"/>
          </w:tcPr>
          <w:p w14:paraId="04AE1897" w14:textId="77777777" w:rsidR="00CA0525" w:rsidRDefault="00EE6C2B" w:rsidP="00CA0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Kluczowy</w:t>
            </w:r>
          </w:p>
          <w:p w14:paraId="25F1FB06" w14:textId="77777777" w:rsidR="008E6C61" w:rsidRPr="008C4378" w:rsidRDefault="008E6C61" w:rsidP="00CA0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horyzontalny</w:t>
            </w:r>
          </w:p>
        </w:tc>
        <w:tc>
          <w:tcPr>
            <w:tcW w:w="2907" w:type="dxa"/>
          </w:tcPr>
          <w:p w14:paraId="4F37E86D" w14:textId="77777777" w:rsidR="00CA0525" w:rsidRPr="008C4378" w:rsidRDefault="00CA0525" w:rsidP="00CA052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8C4378">
              <w:rPr>
                <w:rFonts w:cs="Arial"/>
                <w:sz w:val="20"/>
                <w:szCs w:val="20"/>
              </w:rPr>
              <w:t>Liczba projektów, w których sfinansowano koszty racjonalnych usprawnień dla osób z niepełnosprawnościami</w:t>
            </w:r>
            <w:r>
              <w:rPr>
                <w:rFonts w:cs="Arial"/>
                <w:sz w:val="20"/>
                <w:szCs w:val="20"/>
              </w:rPr>
              <w:t xml:space="preserve"> [szt.]</w:t>
            </w:r>
          </w:p>
        </w:tc>
        <w:tc>
          <w:tcPr>
            <w:tcW w:w="1246" w:type="dxa"/>
            <w:gridSpan w:val="3"/>
          </w:tcPr>
          <w:p w14:paraId="2EDC6FDF" w14:textId="77777777" w:rsidR="00CA0525" w:rsidRPr="008C4378" w:rsidRDefault="00CA0525" w:rsidP="00CA0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C4378">
              <w:rPr>
                <w:rFonts w:cs="Arial"/>
                <w:sz w:val="20"/>
                <w:szCs w:val="20"/>
              </w:rPr>
              <w:t>[szt.]</w:t>
            </w:r>
          </w:p>
        </w:tc>
        <w:tc>
          <w:tcPr>
            <w:tcW w:w="7714" w:type="dxa"/>
          </w:tcPr>
          <w:p w14:paraId="59BC826C" w14:textId="77777777" w:rsidR="005578C7" w:rsidRPr="00DC48E2" w:rsidRDefault="005578C7" w:rsidP="00AC08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DC48E2">
              <w:rPr>
                <w:rFonts w:cs="Arial"/>
                <w:sz w:val="20"/>
                <w:szCs w:val="20"/>
              </w:rPr>
              <w:t xml:space="preserve">Racjonalne usprawnienie oznacza konieczne i odpowiednie zmiany i dostosowania, nie nakładające nieproporcjonalnego lub nadmiernego obciążenia, jeśli jest to potrzebne w konkretnym przypadku, w celu zapewnienia osobom z niepełnosprawnościami możliwości korzystania z wszelkich praw człowieka i podstawowych wolności oraz ich wykonywania na zasadzie równości z innymi osobami (zgodnie z art. 2 Konwencji o prawach osób niepełnosprawnych). </w:t>
            </w:r>
          </w:p>
          <w:p w14:paraId="2FE43CDB" w14:textId="77777777" w:rsidR="005578C7" w:rsidRPr="00DC48E2" w:rsidRDefault="005578C7" w:rsidP="00AC08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DC48E2">
              <w:rPr>
                <w:rFonts w:cs="Arial"/>
                <w:sz w:val="20"/>
                <w:szCs w:val="20"/>
              </w:rPr>
              <w:t xml:space="preserve">Wskaźnik mierzony w momencie rozliczenia wydatku związanego z racjonalnymi usprawnieniami. </w:t>
            </w:r>
          </w:p>
          <w:p w14:paraId="61FF6C4E" w14:textId="77777777" w:rsidR="005578C7" w:rsidRDefault="005578C7" w:rsidP="00AC08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Cs/>
                <w:i/>
                <w:sz w:val="20"/>
                <w:szCs w:val="20"/>
              </w:rPr>
            </w:pPr>
            <w:r w:rsidRPr="00DC48E2">
              <w:rPr>
                <w:rFonts w:cs="Arial"/>
                <w:sz w:val="20"/>
                <w:szCs w:val="20"/>
              </w:rPr>
              <w:t xml:space="preserve">Przykłady racjonalnych usprawnień: </w:t>
            </w:r>
            <w:r>
              <w:rPr>
                <w:rFonts w:cs="Arial"/>
                <w:sz w:val="20"/>
                <w:szCs w:val="20"/>
              </w:rPr>
              <w:t xml:space="preserve">sygnalizacja akustyczna, </w:t>
            </w:r>
            <w:r w:rsidRPr="009F6734">
              <w:rPr>
                <w:rFonts w:cs="Arial"/>
                <w:sz w:val="20"/>
                <w:szCs w:val="20"/>
              </w:rPr>
              <w:t>windy, podjazdy, wypukłe pasy ostrzegawcze, tablice informacyjne w języku Braille’a.</w:t>
            </w:r>
            <w:r w:rsidRPr="00DC48E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Wymogi w tym zakresie określone są w </w:t>
            </w:r>
            <w:r w:rsidRPr="00E867D1">
              <w:rPr>
                <w:rFonts w:cs="Arial"/>
                <w:bCs/>
                <w:i/>
                <w:sz w:val="20"/>
                <w:szCs w:val="20"/>
              </w:rPr>
              <w:t>Wytycznych w zakresie realizacji zasady równo</w:t>
            </w:r>
            <w:r>
              <w:rPr>
                <w:rFonts w:cs="Arial"/>
                <w:bCs/>
                <w:i/>
                <w:sz w:val="20"/>
                <w:szCs w:val="20"/>
              </w:rPr>
              <w:t>ści szans i</w:t>
            </w:r>
            <w:r w:rsidR="009F6734">
              <w:rPr>
                <w:rFonts w:cs="Arial"/>
                <w:bCs/>
                <w:i/>
                <w:sz w:val="20"/>
                <w:szCs w:val="20"/>
              </w:rPr>
              <w:t> </w:t>
            </w:r>
            <w:r>
              <w:rPr>
                <w:rFonts w:cs="Arial"/>
                <w:bCs/>
                <w:i/>
                <w:sz w:val="20"/>
                <w:szCs w:val="20"/>
              </w:rPr>
              <w:t>niedyskryminacji, w </w:t>
            </w:r>
            <w:r w:rsidRPr="00E867D1">
              <w:rPr>
                <w:rFonts w:cs="Arial"/>
                <w:bCs/>
                <w:i/>
                <w:sz w:val="20"/>
                <w:szCs w:val="20"/>
              </w:rPr>
              <w:t>tym dostępności dla osób z niepełnosprawnościami oraz zasady równości szans kobiet i mężczyzn w ramach funduszy unijnych na lata 2014-2020</w:t>
            </w:r>
            <w:r>
              <w:rPr>
                <w:rFonts w:cs="Arial"/>
                <w:bCs/>
                <w:i/>
                <w:sz w:val="20"/>
                <w:szCs w:val="20"/>
              </w:rPr>
              <w:t>.</w:t>
            </w:r>
          </w:p>
          <w:p w14:paraId="1EEAE8DE" w14:textId="77777777" w:rsidR="00704490" w:rsidRDefault="00704490" w:rsidP="0070449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 każdym projekcie należy wybrać podany wskaźnik z wartością 1 szt.</w:t>
            </w:r>
          </w:p>
          <w:p w14:paraId="34F46225" w14:textId="77777777" w:rsidR="005578C7" w:rsidRPr="00DC48E2" w:rsidRDefault="005578C7" w:rsidP="00AC08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DC48E2">
              <w:rPr>
                <w:rFonts w:cs="Arial"/>
                <w:sz w:val="20"/>
                <w:szCs w:val="20"/>
              </w:rPr>
              <w:t xml:space="preserve">Wybór wskaźnika dot. finansowania racjonalnych usprawnień powoduje konieczność wskazania również wskaźnika: </w:t>
            </w:r>
            <w:r w:rsidR="000852AA">
              <w:rPr>
                <w:rFonts w:cs="Arial"/>
                <w:sz w:val="20"/>
                <w:szCs w:val="20"/>
              </w:rPr>
              <w:t>„L</w:t>
            </w:r>
            <w:r w:rsidRPr="00DC48E2">
              <w:rPr>
                <w:rFonts w:cs="Arial"/>
                <w:sz w:val="20"/>
                <w:szCs w:val="20"/>
              </w:rPr>
              <w:t>iczba obiektów dostosowanych do potrzeb osób z niepełnosprawnościami</w:t>
            </w:r>
            <w:r w:rsidR="000852AA">
              <w:rPr>
                <w:rFonts w:cs="Arial"/>
                <w:sz w:val="20"/>
                <w:szCs w:val="20"/>
              </w:rPr>
              <w:t>”</w:t>
            </w:r>
            <w:r w:rsidRPr="00DC48E2">
              <w:rPr>
                <w:rFonts w:cs="Arial"/>
                <w:sz w:val="20"/>
                <w:szCs w:val="20"/>
              </w:rPr>
              <w:t xml:space="preserve">. </w:t>
            </w:r>
          </w:p>
          <w:p w14:paraId="1E65E296" w14:textId="77777777" w:rsidR="00CA0525" w:rsidRPr="008C4378" w:rsidRDefault="005578C7" w:rsidP="00AC08DE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DC48E2">
              <w:rPr>
                <w:rFonts w:cs="Arial"/>
                <w:sz w:val="20"/>
                <w:szCs w:val="20"/>
              </w:rPr>
              <w:t>Definicja na podstawie: Agenda działań na rzecz równości szans i niedyskryminacji osób z niepełnosprawnościami w ramach funduszy unijnych 2014-2020.</w:t>
            </w:r>
          </w:p>
        </w:tc>
      </w:tr>
      <w:tr w:rsidR="00CA0525" w:rsidRPr="00BB7898" w14:paraId="3E462229" w14:textId="77777777" w:rsidTr="00DC3E7D">
        <w:trPr>
          <w:gridAfter w:val="1"/>
          <w:wAfter w:w="13" w:type="dxa"/>
          <w:trHeight w:val="2570"/>
        </w:trPr>
        <w:tc>
          <w:tcPr>
            <w:tcW w:w="632" w:type="dxa"/>
          </w:tcPr>
          <w:p w14:paraId="56CA283E" w14:textId="76C4EF85" w:rsidR="00CA0525" w:rsidRDefault="005F6F60" w:rsidP="00CA052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CA052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410" w:type="dxa"/>
          </w:tcPr>
          <w:p w14:paraId="2476B5BB" w14:textId="77777777" w:rsidR="00CA0525" w:rsidRDefault="00EE6C2B" w:rsidP="00CA0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Kluczowy</w:t>
            </w:r>
          </w:p>
          <w:p w14:paraId="79268D4A" w14:textId="77777777" w:rsidR="008E6C61" w:rsidRDefault="008E6C61" w:rsidP="00CA0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horyzontalny</w:t>
            </w:r>
          </w:p>
        </w:tc>
        <w:tc>
          <w:tcPr>
            <w:tcW w:w="2907" w:type="dxa"/>
          </w:tcPr>
          <w:p w14:paraId="57073F3A" w14:textId="77777777" w:rsidR="00CA0525" w:rsidRDefault="00CA0525" w:rsidP="00CA052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EB2DD2">
              <w:rPr>
                <w:rFonts w:cs="Arial"/>
                <w:sz w:val="20"/>
                <w:szCs w:val="20"/>
              </w:rPr>
              <w:t>Liczba podmiotów wykorzystujących technologie informacyjno-komunikacyjne [szt.]</w:t>
            </w:r>
          </w:p>
        </w:tc>
        <w:tc>
          <w:tcPr>
            <w:tcW w:w="1246" w:type="dxa"/>
            <w:gridSpan w:val="3"/>
          </w:tcPr>
          <w:p w14:paraId="4C116AE9" w14:textId="77777777" w:rsidR="00CA0525" w:rsidRDefault="00CA0525" w:rsidP="00CA0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[szt.]</w:t>
            </w:r>
          </w:p>
        </w:tc>
        <w:tc>
          <w:tcPr>
            <w:tcW w:w="7714" w:type="dxa"/>
          </w:tcPr>
          <w:p w14:paraId="533F5A7D" w14:textId="77777777" w:rsidR="00704490" w:rsidRDefault="00704490" w:rsidP="0070449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Wskaźnik określa liczbę podmiotów, które w celu realizacji projektu zainwestowały </w:t>
            </w:r>
            <w:r>
              <w:rPr>
                <w:rFonts w:cs="Arial"/>
                <w:sz w:val="20"/>
                <w:szCs w:val="20"/>
              </w:rPr>
              <w:br/>
              <w:t>w technologie informacyjno-komunikacyjne.</w:t>
            </w:r>
          </w:p>
          <w:p w14:paraId="407F5230" w14:textId="77777777" w:rsidR="00704490" w:rsidRDefault="00704490" w:rsidP="0070449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wartości wskaźnika należy wliczyć wnioskodawcę oraz ewentualnych partnerów projektu.</w:t>
            </w:r>
          </w:p>
          <w:p w14:paraId="6F80E10A" w14:textId="77777777" w:rsidR="00CA0525" w:rsidRPr="00B03E22" w:rsidRDefault="00704490" w:rsidP="00704490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Przez technologie informacyjno-komunikacyjne (ang. ICT – Information and Communications Technology) należy rozumieć technologie pozyskiwania/produkcji, gromadzenia/przechowywania, przesyłania, przetwarzania i rozpowszechniania informacji w formie elektronicznej z wykorzystaniem technik cyfrowych i wszelkich narzędzi komunikacji elektronicznej oraz wszelkie działania związane </w:t>
            </w:r>
            <w:r>
              <w:rPr>
                <w:rFonts w:cs="Arial"/>
                <w:sz w:val="20"/>
                <w:szCs w:val="20"/>
              </w:rPr>
              <w:br/>
              <w:t xml:space="preserve">z </w:t>
            </w:r>
            <w:r w:rsidR="006C3E1D">
              <w:rPr>
                <w:rFonts w:cs="Arial"/>
                <w:sz w:val="20"/>
                <w:szCs w:val="20"/>
              </w:rPr>
              <w:t xml:space="preserve">produkcją i </w:t>
            </w:r>
            <w:r>
              <w:rPr>
                <w:rFonts w:cs="Arial"/>
                <w:sz w:val="20"/>
                <w:szCs w:val="20"/>
              </w:rPr>
              <w:t>wykorzystaniem urządzeń teleko</w:t>
            </w:r>
            <w:r w:rsidR="006C3E1D">
              <w:rPr>
                <w:rFonts w:cs="Arial"/>
                <w:sz w:val="20"/>
                <w:szCs w:val="20"/>
              </w:rPr>
              <w:t>munikacyjnych i informatycznych oraz usług im towarzyszących; działania edukacyjne i szkoleniowe.</w:t>
            </w:r>
          </w:p>
        </w:tc>
      </w:tr>
      <w:tr w:rsidR="00CA0525" w:rsidRPr="00BB7898" w14:paraId="42CB2ED4" w14:textId="77777777" w:rsidTr="00DC3E7D">
        <w:trPr>
          <w:gridAfter w:val="1"/>
          <w:wAfter w:w="13" w:type="dxa"/>
          <w:trHeight w:val="45"/>
        </w:trPr>
        <w:tc>
          <w:tcPr>
            <w:tcW w:w="632" w:type="dxa"/>
          </w:tcPr>
          <w:p w14:paraId="4CB566E6" w14:textId="26B4406E" w:rsidR="00CA0525" w:rsidRPr="00BB7898" w:rsidRDefault="005F6F60" w:rsidP="00CA0525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3277" w:type="dxa"/>
            <w:gridSpan w:val="6"/>
          </w:tcPr>
          <w:p w14:paraId="66396456" w14:textId="77777777" w:rsidR="00CA0525" w:rsidRPr="00BB7898" w:rsidRDefault="00CA0525" w:rsidP="00CA0525">
            <w:pPr>
              <w:spacing w:before="60" w:after="60"/>
              <w:jc w:val="center"/>
              <w:rPr>
                <w:rFonts w:cs="Arial"/>
                <w:sz w:val="28"/>
                <w:szCs w:val="28"/>
              </w:rPr>
            </w:pPr>
            <w:r w:rsidRPr="00BB7898">
              <w:rPr>
                <w:rFonts w:cs="Arial"/>
                <w:b/>
                <w:sz w:val="28"/>
                <w:szCs w:val="28"/>
              </w:rPr>
              <w:t>WSKAŹNIKI REZULTATU</w:t>
            </w:r>
          </w:p>
        </w:tc>
      </w:tr>
      <w:tr w:rsidR="00E65BF4" w:rsidRPr="00BB7898" w14:paraId="753D42E3" w14:textId="77777777" w:rsidTr="00DC3E7D">
        <w:trPr>
          <w:trHeight w:val="1119"/>
        </w:trPr>
        <w:tc>
          <w:tcPr>
            <w:tcW w:w="632" w:type="dxa"/>
          </w:tcPr>
          <w:p w14:paraId="07D050F6" w14:textId="77777777" w:rsidR="00E65BF4" w:rsidRPr="00DD1AA7" w:rsidRDefault="00E65BF4" w:rsidP="00E65BF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DD1AA7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410" w:type="dxa"/>
          </w:tcPr>
          <w:p w14:paraId="5DBEADF4" w14:textId="77777777" w:rsidR="00E65BF4" w:rsidRDefault="00E65BF4" w:rsidP="00E65BF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Kluczowy</w:t>
            </w:r>
          </w:p>
          <w:p w14:paraId="77245981" w14:textId="77777777" w:rsidR="008E6C61" w:rsidRDefault="000D2C5D" w:rsidP="00E65BF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horyzontalny</w:t>
            </w:r>
          </w:p>
        </w:tc>
        <w:tc>
          <w:tcPr>
            <w:tcW w:w="2914" w:type="dxa"/>
            <w:gridSpan w:val="2"/>
          </w:tcPr>
          <w:p w14:paraId="0BC1F34E" w14:textId="7651116B" w:rsidR="00E65BF4" w:rsidRPr="00E65BF4" w:rsidRDefault="00E65BF4" w:rsidP="004934CF">
            <w:pPr>
              <w:pStyle w:val="Standard"/>
              <w:autoSpaceDE w:val="0"/>
              <w:spacing w:beforeLines="60" w:before="144" w:afterLines="60" w:after="144"/>
              <w:rPr>
                <w:rFonts w:ascii="Arial" w:hAnsi="Arial" w:cs="Arial"/>
                <w:bCs/>
                <w:sz w:val="20"/>
                <w:szCs w:val="20"/>
              </w:rPr>
            </w:pPr>
            <w:r w:rsidRPr="00E65BF4">
              <w:rPr>
                <w:rFonts w:ascii="Arial" w:hAnsi="Arial" w:cs="Arial"/>
                <w:bCs/>
                <w:sz w:val="20"/>
                <w:szCs w:val="20"/>
              </w:rPr>
              <w:t>Wzrost zatrudnienia we wspieranych podmiotach (innych niż przedsiębiorstwa) [EPC]</w:t>
            </w:r>
          </w:p>
        </w:tc>
        <w:tc>
          <w:tcPr>
            <w:tcW w:w="1028" w:type="dxa"/>
          </w:tcPr>
          <w:p w14:paraId="2A9FC09E" w14:textId="77777777" w:rsidR="00E65BF4" w:rsidRPr="00E65BF4" w:rsidRDefault="00E65BF4" w:rsidP="003B0D26">
            <w:pPr>
              <w:pStyle w:val="Standard"/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F4">
              <w:rPr>
                <w:rFonts w:ascii="Arial" w:hAnsi="Arial" w:cs="Arial"/>
                <w:sz w:val="20"/>
                <w:szCs w:val="20"/>
              </w:rPr>
              <w:t>EPC</w:t>
            </w:r>
          </w:p>
        </w:tc>
        <w:tc>
          <w:tcPr>
            <w:tcW w:w="7938" w:type="dxa"/>
            <w:gridSpan w:val="3"/>
            <w:vMerge w:val="restart"/>
          </w:tcPr>
          <w:p w14:paraId="5E943749" w14:textId="4F1BB04E" w:rsidR="004934CF" w:rsidRPr="004934CF" w:rsidRDefault="00E65BF4" w:rsidP="004934CF">
            <w:pPr>
              <w:pStyle w:val="Standard"/>
              <w:autoSpaceDE w:val="0"/>
              <w:spacing w:beforeLines="60" w:before="144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DF2">
              <w:rPr>
                <w:rFonts w:ascii="Arial" w:hAnsi="Arial" w:cs="Arial"/>
                <w:sz w:val="20"/>
                <w:szCs w:val="20"/>
              </w:rPr>
              <w:t>Wskaźnik dotyczy etatów utworzonych bezpośrednio w efekcie realizacji projektu. Należy podać docelową zakładaną liczbę utworzonych nowych etatów najpóźniej w ciągu 12 miesięcy od zakończenia realizacji projektu</w:t>
            </w:r>
            <w:r w:rsidR="008A5F57" w:rsidRPr="004B4DF2">
              <w:rPr>
                <w:rFonts w:ascii="Arial" w:hAnsi="Arial" w:cs="Arial"/>
                <w:sz w:val="20"/>
                <w:szCs w:val="20"/>
              </w:rPr>
              <w:t xml:space="preserve"> (utworzonych jako bezpośredni skutek zakończenia projektu)</w:t>
            </w:r>
            <w:r w:rsidRPr="004B4DF2">
              <w:rPr>
                <w:rFonts w:ascii="Arial" w:hAnsi="Arial" w:cs="Arial"/>
                <w:sz w:val="20"/>
                <w:szCs w:val="20"/>
              </w:rPr>
              <w:t xml:space="preserve">. Wskaźnik nie dotyczy miejsc pracy utworzonych </w:t>
            </w:r>
            <w:r w:rsidRPr="004B4DF2">
              <w:rPr>
                <w:rFonts w:ascii="Arial" w:hAnsi="Arial" w:cs="Arial"/>
                <w:sz w:val="20"/>
                <w:szCs w:val="20"/>
              </w:rPr>
              <w:lastRenderedPageBreak/>
              <w:t>pośrednio w wyniku realizacji projektu. Nie są tu także liczone miejsca pracy utworzone w celu obsługi</w:t>
            </w:r>
            <w:r w:rsidR="008A5F57" w:rsidRPr="004B4DF2">
              <w:rPr>
                <w:rFonts w:ascii="Arial" w:hAnsi="Arial" w:cs="Arial"/>
                <w:sz w:val="20"/>
                <w:szCs w:val="20"/>
              </w:rPr>
              <w:t>/wdrożenia</w:t>
            </w:r>
            <w:r w:rsidRPr="004B4DF2">
              <w:rPr>
                <w:rFonts w:ascii="Arial" w:hAnsi="Arial" w:cs="Arial"/>
                <w:sz w:val="20"/>
                <w:szCs w:val="20"/>
              </w:rPr>
              <w:t xml:space="preserve"> projektu. Wskaźnik służy do pomiaru liczby pracowników zatrudnionych na podstawie umowy o pracę (nie dotyczy umów o dzieło, umów zlecenia</w:t>
            </w:r>
            <w:r w:rsidR="004934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34CF" w:rsidRPr="004934CF">
              <w:rPr>
                <w:rFonts w:ascii="Arial" w:hAnsi="Arial" w:cs="Arial"/>
                <w:sz w:val="20"/>
                <w:szCs w:val="20"/>
              </w:rPr>
              <w:t>oraz stażystów). Liczba pracowników wykazywana jest w tzw. ekwiwalencie pełnego czasu pracy EPC</w:t>
            </w:r>
            <w:r w:rsidR="00A4777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="004934CF" w:rsidRPr="004934C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19CCC6" w14:textId="77777777" w:rsidR="004934CF" w:rsidRPr="004934CF" w:rsidRDefault="004934CF" w:rsidP="004934CF">
            <w:pPr>
              <w:pStyle w:val="Standard"/>
              <w:autoSpaceDE w:val="0"/>
              <w:spacing w:beforeLines="60" w:before="144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4CF">
              <w:rPr>
                <w:rFonts w:ascii="Arial" w:hAnsi="Arial" w:cs="Arial"/>
                <w:sz w:val="20"/>
                <w:szCs w:val="20"/>
              </w:rPr>
              <w:t>Wskaźnik należy mierzyć w rozbiciu na kobiety, mężczyzn i ogółem.</w:t>
            </w:r>
          </w:p>
          <w:p w14:paraId="31ED3CAB" w14:textId="423E97C4" w:rsidR="00E65BF4" w:rsidRPr="004B4DF2" w:rsidRDefault="004934CF" w:rsidP="004934CF">
            <w:pPr>
              <w:pStyle w:val="Standard"/>
              <w:autoSpaceDE w:val="0"/>
              <w:spacing w:beforeLines="60" w:before="144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4CF">
              <w:rPr>
                <w:rFonts w:ascii="Arial" w:hAnsi="Arial" w:cs="Arial"/>
                <w:sz w:val="20"/>
                <w:szCs w:val="20"/>
              </w:rPr>
              <w:t>Wartość wskaźnika weryfikowana będzie na podstawie deklaracji ZUS DRA oraz umów o pracę.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5B2F" w:rsidRPr="00BB7898" w14:paraId="18C2CE4F" w14:textId="77777777" w:rsidTr="00DC3E7D">
        <w:trPr>
          <w:trHeight w:val="1834"/>
        </w:trPr>
        <w:tc>
          <w:tcPr>
            <w:tcW w:w="632" w:type="dxa"/>
          </w:tcPr>
          <w:p w14:paraId="4A3BE557" w14:textId="77777777" w:rsidR="002D5B2F" w:rsidRPr="00DD1AA7" w:rsidRDefault="002D5B2F" w:rsidP="002D5B2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10" w:type="dxa"/>
          </w:tcPr>
          <w:p w14:paraId="76DA2394" w14:textId="77777777" w:rsidR="008E6C61" w:rsidRDefault="000D2C5D" w:rsidP="000D2C5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Kluczowy horyzontalny</w:t>
            </w:r>
          </w:p>
        </w:tc>
        <w:tc>
          <w:tcPr>
            <w:tcW w:w="2914" w:type="dxa"/>
            <w:gridSpan w:val="2"/>
          </w:tcPr>
          <w:p w14:paraId="2993D0F7" w14:textId="77777777" w:rsidR="002D5B2F" w:rsidRPr="002D5B2F" w:rsidRDefault="002D5B2F" w:rsidP="003B0D26">
            <w:pPr>
              <w:pStyle w:val="Standard"/>
              <w:autoSpaceDE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2D5B2F">
              <w:rPr>
                <w:rFonts w:ascii="Arial" w:hAnsi="Arial" w:cs="Arial"/>
                <w:bCs/>
                <w:sz w:val="20"/>
                <w:szCs w:val="20"/>
              </w:rPr>
              <w:t>Wzrost zatrudnienia we wspieranych podmiotach (innych niż przedsiębiorstwa) – kobiety [EPC]</w:t>
            </w:r>
          </w:p>
        </w:tc>
        <w:tc>
          <w:tcPr>
            <w:tcW w:w="1028" w:type="dxa"/>
          </w:tcPr>
          <w:p w14:paraId="26C4524C" w14:textId="77777777" w:rsidR="002D5B2F" w:rsidRDefault="002D5B2F" w:rsidP="002D5B2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EPC</w:t>
            </w:r>
          </w:p>
        </w:tc>
        <w:tc>
          <w:tcPr>
            <w:tcW w:w="7938" w:type="dxa"/>
            <w:gridSpan w:val="3"/>
            <w:vMerge/>
          </w:tcPr>
          <w:p w14:paraId="5495FAC9" w14:textId="77777777" w:rsidR="002D5B2F" w:rsidRPr="004B4DF2" w:rsidRDefault="002D5B2F" w:rsidP="002D5B2F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D5B2F" w:rsidRPr="00BB7898" w14:paraId="2555C7EB" w14:textId="77777777" w:rsidTr="00DC3E7D">
        <w:trPr>
          <w:trHeight w:val="1115"/>
        </w:trPr>
        <w:tc>
          <w:tcPr>
            <w:tcW w:w="632" w:type="dxa"/>
          </w:tcPr>
          <w:p w14:paraId="047165A6" w14:textId="77777777" w:rsidR="002D5B2F" w:rsidRPr="00DD1AA7" w:rsidRDefault="002D5B2F" w:rsidP="002D5B2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410" w:type="dxa"/>
          </w:tcPr>
          <w:p w14:paraId="0D554695" w14:textId="77777777" w:rsidR="002D5B2F" w:rsidRDefault="002D5B2F" w:rsidP="002D5B2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Kluczowy</w:t>
            </w:r>
          </w:p>
          <w:p w14:paraId="1B817B3A" w14:textId="77777777" w:rsidR="008E6C61" w:rsidRDefault="000D2C5D" w:rsidP="002D5B2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horyzontalny</w:t>
            </w:r>
          </w:p>
        </w:tc>
        <w:tc>
          <w:tcPr>
            <w:tcW w:w="2914" w:type="dxa"/>
            <w:gridSpan w:val="2"/>
          </w:tcPr>
          <w:p w14:paraId="51612348" w14:textId="77777777" w:rsidR="002D5B2F" w:rsidRPr="002D5B2F" w:rsidRDefault="002D5B2F" w:rsidP="003B0D26">
            <w:pPr>
              <w:pStyle w:val="Standard"/>
              <w:autoSpaceDE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2D5B2F">
              <w:rPr>
                <w:rFonts w:ascii="Arial" w:hAnsi="Arial" w:cs="Arial"/>
                <w:bCs/>
                <w:sz w:val="20"/>
                <w:szCs w:val="20"/>
              </w:rPr>
              <w:t>Wzrost zatrudnienia we wspieranych podmiotach (innych niż przedsiębiorstwa) – mężczyźni [EPC]</w:t>
            </w:r>
          </w:p>
        </w:tc>
        <w:tc>
          <w:tcPr>
            <w:tcW w:w="1028" w:type="dxa"/>
          </w:tcPr>
          <w:p w14:paraId="16935860" w14:textId="77777777" w:rsidR="002D5B2F" w:rsidRDefault="002D5B2F" w:rsidP="002D5B2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EPC</w:t>
            </w:r>
          </w:p>
        </w:tc>
        <w:tc>
          <w:tcPr>
            <w:tcW w:w="7938" w:type="dxa"/>
            <w:gridSpan w:val="3"/>
            <w:vMerge/>
          </w:tcPr>
          <w:p w14:paraId="2DB21ED6" w14:textId="77777777" w:rsidR="002D5B2F" w:rsidRPr="004B4DF2" w:rsidRDefault="002D5B2F" w:rsidP="002D5B2F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A0525" w:rsidRPr="00BB7898" w14:paraId="324D82D4" w14:textId="77777777" w:rsidTr="00DC3E7D">
        <w:trPr>
          <w:trHeight w:val="810"/>
        </w:trPr>
        <w:tc>
          <w:tcPr>
            <w:tcW w:w="632" w:type="dxa"/>
          </w:tcPr>
          <w:p w14:paraId="66E3437B" w14:textId="77777777" w:rsidR="00CA0525" w:rsidRPr="00BB7898" w:rsidRDefault="00CA0525" w:rsidP="00CA052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410" w:type="dxa"/>
          </w:tcPr>
          <w:p w14:paraId="37A0BFF8" w14:textId="77777777" w:rsidR="00CA0525" w:rsidRDefault="00EE6C2B" w:rsidP="00CA0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Kluczowy</w:t>
            </w:r>
          </w:p>
          <w:p w14:paraId="2CF1515B" w14:textId="77777777" w:rsidR="008E6C61" w:rsidRDefault="000D2C5D" w:rsidP="000D2C5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horyzontalny</w:t>
            </w:r>
          </w:p>
        </w:tc>
        <w:tc>
          <w:tcPr>
            <w:tcW w:w="2914" w:type="dxa"/>
            <w:gridSpan w:val="2"/>
          </w:tcPr>
          <w:p w14:paraId="40CAD5BE" w14:textId="77777777" w:rsidR="00CA0525" w:rsidRPr="00034E8D" w:rsidRDefault="00CA0525" w:rsidP="00CA052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034E8D">
              <w:rPr>
                <w:rFonts w:cs="Arial"/>
                <w:sz w:val="20"/>
                <w:szCs w:val="20"/>
              </w:rPr>
              <w:t>Liczba utrzymanych miejsc pracy</w:t>
            </w:r>
            <w:r>
              <w:rPr>
                <w:rFonts w:cs="Arial"/>
                <w:sz w:val="20"/>
                <w:szCs w:val="20"/>
              </w:rPr>
              <w:t xml:space="preserve"> [EPC]</w:t>
            </w:r>
          </w:p>
        </w:tc>
        <w:tc>
          <w:tcPr>
            <w:tcW w:w="1028" w:type="dxa"/>
          </w:tcPr>
          <w:p w14:paraId="4076B104" w14:textId="77777777" w:rsidR="00CA0525" w:rsidRDefault="00CA0525" w:rsidP="00CA0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EPC</w:t>
            </w:r>
          </w:p>
        </w:tc>
        <w:tc>
          <w:tcPr>
            <w:tcW w:w="7938" w:type="dxa"/>
            <w:gridSpan w:val="3"/>
            <w:vMerge w:val="restart"/>
          </w:tcPr>
          <w:p w14:paraId="2471BBE0" w14:textId="77777777" w:rsidR="00CA0525" w:rsidRPr="004B4DF2" w:rsidRDefault="00CA0525" w:rsidP="00CA0525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4B4DF2">
              <w:rPr>
                <w:rFonts w:cs="Arial"/>
                <w:sz w:val="20"/>
                <w:szCs w:val="20"/>
              </w:rPr>
              <w:t xml:space="preserve">Wskaźnik dotyczy liczby etatów brutto, które zostały utrzymane w wyniku wsparcia, </w:t>
            </w:r>
            <w:r w:rsidRPr="004B4DF2">
              <w:rPr>
                <w:rFonts w:cs="Arial"/>
                <w:sz w:val="20"/>
                <w:szCs w:val="20"/>
              </w:rPr>
              <w:br/>
              <w:t>w ciągu 12 miesięcy od zakończenia realizacji projektu, a które byłyby zlikwidowane, gdyby tego wsparcia Beneficjent nie uzyskał. Etaty muszą być obsadzone (nieobsadzonych stanowisk się nie wlicza). Prace sezonowe i niepełnowymiarowe należy przeliczyć jw. na tzw. ekwiwalent pełnego czasu pracy (EPC).</w:t>
            </w:r>
          </w:p>
          <w:p w14:paraId="3A41368D" w14:textId="77777777" w:rsidR="00E2246E" w:rsidRPr="004B4DF2" w:rsidRDefault="00E2246E" w:rsidP="00CA0525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72D67F35" w14:textId="77777777" w:rsidR="00CA0525" w:rsidRPr="004B4DF2" w:rsidRDefault="00CA0525" w:rsidP="00CA0525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4B4DF2">
              <w:rPr>
                <w:rFonts w:cs="Arial"/>
                <w:sz w:val="20"/>
                <w:szCs w:val="20"/>
              </w:rPr>
              <w:t>Wskaźnik należy mierzyć w rozbiciu na</w:t>
            </w:r>
            <w:r w:rsidR="000D2C5D" w:rsidRPr="004B4DF2">
              <w:rPr>
                <w:rFonts w:cs="Arial"/>
                <w:sz w:val="20"/>
                <w:szCs w:val="20"/>
              </w:rPr>
              <w:t xml:space="preserve"> kobiety, mężczyzn</w:t>
            </w:r>
            <w:r w:rsidRPr="004B4DF2">
              <w:rPr>
                <w:rFonts w:cs="Arial"/>
                <w:sz w:val="20"/>
                <w:szCs w:val="20"/>
              </w:rPr>
              <w:t xml:space="preserve"> i ogół</w:t>
            </w:r>
            <w:r w:rsidR="000D2C5D" w:rsidRPr="004B4DF2">
              <w:rPr>
                <w:rFonts w:cs="Arial"/>
                <w:sz w:val="20"/>
                <w:szCs w:val="20"/>
              </w:rPr>
              <w:t>em</w:t>
            </w:r>
            <w:r w:rsidRPr="004B4DF2">
              <w:rPr>
                <w:rFonts w:cs="Arial"/>
                <w:sz w:val="20"/>
                <w:szCs w:val="20"/>
              </w:rPr>
              <w:t>.</w:t>
            </w:r>
          </w:p>
          <w:p w14:paraId="29DB191A" w14:textId="77777777" w:rsidR="00E2246E" w:rsidRPr="004B4DF2" w:rsidRDefault="00E2246E" w:rsidP="00CA0525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555ED63B" w14:textId="77777777" w:rsidR="00E2246E" w:rsidRPr="004B4DF2" w:rsidRDefault="00E2246E" w:rsidP="00CA0525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4B4DF2">
              <w:rPr>
                <w:rFonts w:cs="Arial"/>
                <w:sz w:val="20"/>
                <w:szCs w:val="20"/>
              </w:rPr>
              <w:t>Wartość wskaźnika weryfikowana będzie na podstawie deklaracji ZUS DRA oraz umów o pracę.</w:t>
            </w:r>
          </w:p>
        </w:tc>
      </w:tr>
      <w:tr w:rsidR="00CA0525" w:rsidRPr="00BB7898" w14:paraId="3F9C3514" w14:textId="77777777" w:rsidTr="00DC3E7D">
        <w:trPr>
          <w:trHeight w:val="849"/>
        </w:trPr>
        <w:tc>
          <w:tcPr>
            <w:tcW w:w="632" w:type="dxa"/>
          </w:tcPr>
          <w:p w14:paraId="62A0E058" w14:textId="77777777" w:rsidR="00CA0525" w:rsidRDefault="00CA0525" w:rsidP="00CA052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410" w:type="dxa"/>
          </w:tcPr>
          <w:p w14:paraId="50CB8E4C" w14:textId="77777777" w:rsidR="00CA0525" w:rsidRDefault="00EE6C2B" w:rsidP="00CA0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Kluczowy</w:t>
            </w:r>
          </w:p>
          <w:p w14:paraId="2C1EDCE4" w14:textId="77777777" w:rsidR="008E6C61" w:rsidRDefault="000D2C5D" w:rsidP="000D2C5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horyzontalny</w:t>
            </w:r>
          </w:p>
        </w:tc>
        <w:tc>
          <w:tcPr>
            <w:tcW w:w="2914" w:type="dxa"/>
            <w:gridSpan w:val="2"/>
          </w:tcPr>
          <w:p w14:paraId="370CE428" w14:textId="77777777" w:rsidR="00CA0525" w:rsidRPr="00034E8D" w:rsidRDefault="00CA0525" w:rsidP="00CA052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034E8D">
              <w:rPr>
                <w:rFonts w:cs="Arial"/>
                <w:sz w:val="20"/>
                <w:szCs w:val="20"/>
              </w:rPr>
              <w:t>Liczba utrzymanych miejsc pracy</w:t>
            </w:r>
            <w:r>
              <w:rPr>
                <w:rFonts w:cs="Arial"/>
                <w:sz w:val="20"/>
                <w:szCs w:val="20"/>
              </w:rPr>
              <w:t xml:space="preserve"> – kobiety [EPC]</w:t>
            </w:r>
          </w:p>
        </w:tc>
        <w:tc>
          <w:tcPr>
            <w:tcW w:w="1028" w:type="dxa"/>
          </w:tcPr>
          <w:p w14:paraId="04999765" w14:textId="77777777" w:rsidR="00CA0525" w:rsidRDefault="00CA0525" w:rsidP="00CA0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EPC</w:t>
            </w:r>
          </w:p>
        </w:tc>
        <w:tc>
          <w:tcPr>
            <w:tcW w:w="7938" w:type="dxa"/>
            <w:gridSpan w:val="3"/>
            <w:vMerge/>
          </w:tcPr>
          <w:p w14:paraId="1351AE66" w14:textId="77777777" w:rsidR="00CA0525" w:rsidRPr="004B4DF2" w:rsidRDefault="00CA0525" w:rsidP="00CA0525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A0525" w:rsidRPr="00BB7898" w14:paraId="496D4206" w14:textId="77777777" w:rsidTr="00DC3E7D">
        <w:trPr>
          <w:trHeight w:val="1069"/>
        </w:trPr>
        <w:tc>
          <w:tcPr>
            <w:tcW w:w="632" w:type="dxa"/>
          </w:tcPr>
          <w:p w14:paraId="66AD18AE" w14:textId="77777777" w:rsidR="00CA0525" w:rsidRDefault="00CA0525" w:rsidP="00CA052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1410" w:type="dxa"/>
          </w:tcPr>
          <w:p w14:paraId="1998B1F1" w14:textId="77777777" w:rsidR="00CA0525" w:rsidRDefault="00EE6C2B" w:rsidP="00CA0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Kluczowy</w:t>
            </w:r>
          </w:p>
          <w:p w14:paraId="11EF1F27" w14:textId="77777777" w:rsidR="008E6C61" w:rsidRDefault="000D2C5D" w:rsidP="000D2C5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horyzontalny</w:t>
            </w:r>
          </w:p>
        </w:tc>
        <w:tc>
          <w:tcPr>
            <w:tcW w:w="2914" w:type="dxa"/>
            <w:gridSpan w:val="2"/>
          </w:tcPr>
          <w:p w14:paraId="1D8AE247" w14:textId="77777777" w:rsidR="00CA0525" w:rsidRPr="00034E8D" w:rsidRDefault="00CA0525" w:rsidP="00CA052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034E8D">
              <w:rPr>
                <w:rFonts w:cs="Arial"/>
                <w:sz w:val="20"/>
                <w:szCs w:val="20"/>
              </w:rPr>
              <w:t>Liczba utrzymanych miejsc pracy</w:t>
            </w:r>
            <w:r>
              <w:rPr>
                <w:rFonts w:cs="Arial"/>
                <w:sz w:val="20"/>
                <w:szCs w:val="20"/>
              </w:rPr>
              <w:t xml:space="preserve"> – mężczyźni [EPC]</w:t>
            </w:r>
          </w:p>
        </w:tc>
        <w:tc>
          <w:tcPr>
            <w:tcW w:w="1028" w:type="dxa"/>
          </w:tcPr>
          <w:p w14:paraId="74177FBA" w14:textId="77777777" w:rsidR="00CA0525" w:rsidRDefault="00CA0525" w:rsidP="00CA0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EPC</w:t>
            </w:r>
          </w:p>
        </w:tc>
        <w:tc>
          <w:tcPr>
            <w:tcW w:w="7938" w:type="dxa"/>
            <w:gridSpan w:val="3"/>
            <w:vMerge/>
          </w:tcPr>
          <w:p w14:paraId="448BFCC7" w14:textId="77777777" w:rsidR="00CA0525" w:rsidRPr="004B4DF2" w:rsidRDefault="00CA0525" w:rsidP="00CA0525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A0525" w:rsidRPr="00BB7898" w14:paraId="4A712884" w14:textId="77777777" w:rsidTr="00DC3E7D">
        <w:trPr>
          <w:trHeight w:val="45"/>
        </w:trPr>
        <w:tc>
          <w:tcPr>
            <w:tcW w:w="632" w:type="dxa"/>
          </w:tcPr>
          <w:p w14:paraId="7F8AB0F3" w14:textId="77777777" w:rsidR="00CA0525" w:rsidRDefault="00CA0525" w:rsidP="00CA052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1410" w:type="dxa"/>
          </w:tcPr>
          <w:p w14:paraId="06B35324" w14:textId="77777777" w:rsidR="00CA0525" w:rsidRDefault="00EE6C2B" w:rsidP="00CA0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Kluczowy</w:t>
            </w:r>
          </w:p>
          <w:p w14:paraId="28893F1B" w14:textId="77777777" w:rsidR="008E6C61" w:rsidRDefault="00BD5E79" w:rsidP="00BD5E79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horyzontalny</w:t>
            </w:r>
          </w:p>
        </w:tc>
        <w:tc>
          <w:tcPr>
            <w:tcW w:w="2914" w:type="dxa"/>
            <w:gridSpan w:val="2"/>
          </w:tcPr>
          <w:p w14:paraId="3446BD09" w14:textId="77777777" w:rsidR="00CA0525" w:rsidRPr="00034E8D" w:rsidRDefault="00CA0525" w:rsidP="00CA052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034E8D">
              <w:rPr>
                <w:rFonts w:cs="Arial"/>
                <w:sz w:val="20"/>
                <w:szCs w:val="20"/>
              </w:rPr>
              <w:t>Liczba nowo utworzonych miejsc pracy –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34E8D">
              <w:rPr>
                <w:rFonts w:cs="Arial"/>
                <w:sz w:val="20"/>
                <w:szCs w:val="20"/>
              </w:rPr>
              <w:t>pozostałe formy</w:t>
            </w:r>
            <w:r>
              <w:rPr>
                <w:rFonts w:cs="Arial"/>
                <w:sz w:val="20"/>
                <w:szCs w:val="20"/>
              </w:rPr>
              <w:t xml:space="preserve"> [EPC]</w:t>
            </w:r>
          </w:p>
        </w:tc>
        <w:tc>
          <w:tcPr>
            <w:tcW w:w="1028" w:type="dxa"/>
          </w:tcPr>
          <w:p w14:paraId="18CECE06" w14:textId="77777777" w:rsidR="00CA0525" w:rsidRDefault="00CA0525" w:rsidP="00CA0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EPC</w:t>
            </w:r>
          </w:p>
        </w:tc>
        <w:tc>
          <w:tcPr>
            <w:tcW w:w="7938" w:type="dxa"/>
            <w:gridSpan w:val="3"/>
            <w:vMerge w:val="restart"/>
          </w:tcPr>
          <w:p w14:paraId="50C28828" w14:textId="77777777" w:rsidR="00CA0525" w:rsidRPr="00182004" w:rsidRDefault="00CA0525" w:rsidP="00CA0525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4B4DF2">
              <w:rPr>
                <w:rFonts w:cs="Arial"/>
                <w:sz w:val="20"/>
                <w:szCs w:val="20"/>
              </w:rPr>
              <w:t xml:space="preserve">Wskaźnik odnosi się do miejsc pracy utworzonych w wyniku realizacji projektu, które nie spełniają definicji określonych dla pozostałych wskaźników dot. miejsc pracy. Służy do pomiaru liczby etatów w odniesieniu do pracowników pracujących na podstawie umów cywilnoprawnych tj.: umów o dzieło, umów zlecenia czy samozatrudnienia – kontraktu, jak i pracujących na podstawie umów o pracę dotyczących etatów nie stałych i nie trwałych - np.: do obsługi projektu, zarówno w przedsiębiorstwach jak i pozostałych </w:t>
            </w:r>
            <w:r w:rsidRPr="004B4DF2">
              <w:rPr>
                <w:rFonts w:cs="Arial"/>
                <w:sz w:val="20"/>
                <w:szCs w:val="20"/>
              </w:rPr>
              <w:lastRenderedPageBreak/>
              <w:t xml:space="preserve">podmiotach nie będących przedsiębiorstwami, zatrudnionych bezpośrednio w efekcie realizacji projektu. Liczba etatów wykazywana jest w tzw. </w:t>
            </w:r>
            <w:r w:rsidRPr="00182004">
              <w:rPr>
                <w:rFonts w:cs="Arial"/>
                <w:sz w:val="20"/>
                <w:szCs w:val="20"/>
              </w:rPr>
              <w:t>ekwiwalencie pełnego czasu pracy (EPC).</w:t>
            </w:r>
          </w:p>
          <w:p w14:paraId="51EE476A" w14:textId="77777777" w:rsidR="00E2246E" w:rsidRPr="00182004" w:rsidRDefault="00E2246E" w:rsidP="00CA0525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3D368207" w14:textId="77777777" w:rsidR="00CA0525" w:rsidRPr="00182004" w:rsidRDefault="00CA0525" w:rsidP="00CA0525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182004">
              <w:rPr>
                <w:rFonts w:cs="Arial"/>
                <w:sz w:val="20"/>
                <w:szCs w:val="20"/>
              </w:rPr>
              <w:t>Wskaźnik należy m</w:t>
            </w:r>
            <w:r w:rsidR="000D2C5D" w:rsidRPr="00182004">
              <w:rPr>
                <w:rFonts w:cs="Arial"/>
                <w:sz w:val="20"/>
                <w:szCs w:val="20"/>
              </w:rPr>
              <w:t>ierzyć w rozbiciu na kobiety, mężczyzn i ogółem</w:t>
            </w:r>
            <w:r w:rsidR="00BA40D4">
              <w:rPr>
                <w:rFonts w:cs="Arial"/>
                <w:sz w:val="20"/>
                <w:szCs w:val="20"/>
              </w:rPr>
              <w:t>.</w:t>
            </w:r>
          </w:p>
          <w:p w14:paraId="6F271C2F" w14:textId="77777777" w:rsidR="00E2246E" w:rsidRPr="004B4DF2" w:rsidRDefault="00E2246E" w:rsidP="00AC08DE">
            <w:pPr>
              <w:spacing w:before="120" w:after="60"/>
              <w:jc w:val="both"/>
              <w:rPr>
                <w:rFonts w:cs="Arial"/>
                <w:sz w:val="20"/>
                <w:szCs w:val="20"/>
              </w:rPr>
            </w:pPr>
            <w:r w:rsidRPr="004B4DF2">
              <w:rPr>
                <w:rFonts w:cs="Arial"/>
                <w:sz w:val="20"/>
                <w:szCs w:val="20"/>
              </w:rPr>
              <w:t>Wartość wskaźnika weryfikowana będzie na podstawie dekl</w:t>
            </w:r>
            <w:r w:rsidR="000D2C5D" w:rsidRPr="004B4DF2">
              <w:rPr>
                <w:rFonts w:cs="Arial"/>
                <w:sz w:val="20"/>
                <w:szCs w:val="20"/>
              </w:rPr>
              <w:t>aracji ZUS DRA oraz umów</w:t>
            </w:r>
            <w:r w:rsidRPr="004B4DF2">
              <w:rPr>
                <w:rFonts w:cs="Arial"/>
                <w:sz w:val="20"/>
                <w:szCs w:val="20"/>
              </w:rPr>
              <w:t>.</w:t>
            </w:r>
          </w:p>
        </w:tc>
      </w:tr>
      <w:tr w:rsidR="00CA0525" w:rsidRPr="00BB7898" w14:paraId="04B09036" w14:textId="77777777" w:rsidTr="00DC3E7D">
        <w:trPr>
          <w:trHeight w:val="45"/>
        </w:trPr>
        <w:tc>
          <w:tcPr>
            <w:tcW w:w="632" w:type="dxa"/>
          </w:tcPr>
          <w:p w14:paraId="722C2A17" w14:textId="77777777" w:rsidR="00CA0525" w:rsidRDefault="00CA0525" w:rsidP="00CA052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1410" w:type="dxa"/>
          </w:tcPr>
          <w:p w14:paraId="2357A1E7" w14:textId="77777777" w:rsidR="00CA0525" w:rsidRDefault="00EE6C2B" w:rsidP="00CA0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Kluczowy</w:t>
            </w:r>
          </w:p>
          <w:p w14:paraId="73EAE3F8" w14:textId="77777777" w:rsidR="008E6C61" w:rsidRDefault="00BD5E79" w:rsidP="00BD5E79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horyzontalny</w:t>
            </w:r>
          </w:p>
        </w:tc>
        <w:tc>
          <w:tcPr>
            <w:tcW w:w="2914" w:type="dxa"/>
            <w:gridSpan w:val="2"/>
          </w:tcPr>
          <w:p w14:paraId="1538A51F" w14:textId="77777777" w:rsidR="00CA0525" w:rsidRPr="00034E8D" w:rsidRDefault="00CA0525" w:rsidP="00CA052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034E8D">
              <w:rPr>
                <w:rFonts w:cs="Arial"/>
                <w:sz w:val="20"/>
                <w:szCs w:val="20"/>
              </w:rPr>
              <w:t>Liczba nowo utworzonych miejsc pracy –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34E8D">
              <w:rPr>
                <w:rFonts w:cs="Arial"/>
                <w:sz w:val="20"/>
                <w:szCs w:val="20"/>
              </w:rPr>
              <w:t>pozostałe formy</w:t>
            </w:r>
            <w:r>
              <w:rPr>
                <w:rFonts w:cs="Arial"/>
                <w:sz w:val="20"/>
                <w:szCs w:val="20"/>
              </w:rPr>
              <w:t xml:space="preserve"> – kobiety [EPC]</w:t>
            </w:r>
          </w:p>
        </w:tc>
        <w:tc>
          <w:tcPr>
            <w:tcW w:w="1028" w:type="dxa"/>
          </w:tcPr>
          <w:p w14:paraId="39234BD6" w14:textId="77777777" w:rsidR="00CA0525" w:rsidRDefault="00CA0525" w:rsidP="00CA0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EPC</w:t>
            </w:r>
          </w:p>
        </w:tc>
        <w:tc>
          <w:tcPr>
            <w:tcW w:w="7938" w:type="dxa"/>
            <w:gridSpan w:val="3"/>
            <w:vMerge/>
          </w:tcPr>
          <w:p w14:paraId="1A2125B7" w14:textId="77777777" w:rsidR="00CA0525" w:rsidRPr="00E65BF4" w:rsidRDefault="00CA0525" w:rsidP="00CA0525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A0525" w:rsidRPr="00BB7898" w14:paraId="2141F98E" w14:textId="77777777" w:rsidTr="00DC3E7D">
        <w:trPr>
          <w:trHeight w:val="45"/>
        </w:trPr>
        <w:tc>
          <w:tcPr>
            <w:tcW w:w="632" w:type="dxa"/>
          </w:tcPr>
          <w:p w14:paraId="049919F9" w14:textId="77777777" w:rsidR="00CA0525" w:rsidRDefault="00CA0525" w:rsidP="00CA052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1410" w:type="dxa"/>
          </w:tcPr>
          <w:p w14:paraId="00861B56" w14:textId="77777777" w:rsidR="00CA0525" w:rsidRDefault="00EE6C2B" w:rsidP="00CA0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Kluczowy</w:t>
            </w:r>
          </w:p>
          <w:p w14:paraId="33D3565C" w14:textId="77777777" w:rsidR="008E6C61" w:rsidRDefault="00BD5E79" w:rsidP="00BD5E79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horyzontalny</w:t>
            </w:r>
          </w:p>
        </w:tc>
        <w:tc>
          <w:tcPr>
            <w:tcW w:w="2914" w:type="dxa"/>
            <w:gridSpan w:val="2"/>
          </w:tcPr>
          <w:p w14:paraId="4DA4D007" w14:textId="77777777" w:rsidR="00CA0525" w:rsidRPr="00034E8D" w:rsidRDefault="00CA0525" w:rsidP="00CA052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034E8D">
              <w:rPr>
                <w:rFonts w:cs="Arial"/>
                <w:sz w:val="20"/>
                <w:szCs w:val="20"/>
              </w:rPr>
              <w:t>Liczba nowo utworzonych miejsc pracy –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34E8D">
              <w:rPr>
                <w:rFonts w:cs="Arial"/>
                <w:sz w:val="20"/>
                <w:szCs w:val="20"/>
              </w:rPr>
              <w:t>pozostałe formy</w:t>
            </w:r>
            <w:r>
              <w:rPr>
                <w:rFonts w:cs="Arial"/>
                <w:sz w:val="20"/>
                <w:szCs w:val="20"/>
              </w:rPr>
              <w:t xml:space="preserve"> – mężczyźni [EPC]</w:t>
            </w:r>
          </w:p>
        </w:tc>
        <w:tc>
          <w:tcPr>
            <w:tcW w:w="1028" w:type="dxa"/>
          </w:tcPr>
          <w:p w14:paraId="46CD8242" w14:textId="77777777" w:rsidR="00CA0525" w:rsidRDefault="00CA0525" w:rsidP="00CA0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EPC</w:t>
            </w:r>
          </w:p>
        </w:tc>
        <w:tc>
          <w:tcPr>
            <w:tcW w:w="7938" w:type="dxa"/>
            <w:gridSpan w:val="3"/>
            <w:vMerge/>
          </w:tcPr>
          <w:p w14:paraId="550AFABD" w14:textId="77777777" w:rsidR="00CA0525" w:rsidRPr="00E65BF4" w:rsidRDefault="00CA0525" w:rsidP="00CA0525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F6F60" w:rsidRPr="00BB7898" w14:paraId="3B06A422" w14:textId="77777777" w:rsidTr="00DC3E7D">
        <w:trPr>
          <w:trHeight w:val="1119"/>
        </w:trPr>
        <w:tc>
          <w:tcPr>
            <w:tcW w:w="632" w:type="dxa"/>
            <w:vAlign w:val="center"/>
          </w:tcPr>
          <w:p w14:paraId="7B0F8EB4" w14:textId="77777777" w:rsidR="005F6F60" w:rsidRDefault="005F6F60" w:rsidP="005F6F6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1410" w:type="dxa"/>
            <w:vAlign w:val="center"/>
          </w:tcPr>
          <w:p w14:paraId="1EE29298" w14:textId="33948823" w:rsidR="005F6F60" w:rsidRDefault="005F6F60" w:rsidP="005F6F6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F44AD2">
              <w:rPr>
                <w:rFonts w:cs="Arial"/>
                <w:sz w:val="20"/>
                <w:szCs w:val="20"/>
              </w:rPr>
              <w:t>pecyficzny dla projektu</w:t>
            </w:r>
          </w:p>
        </w:tc>
        <w:tc>
          <w:tcPr>
            <w:tcW w:w="2914" w:type="dxa"/>
            <w:gridSpan w:val="2"/>
            <w:vAlign w:val="center"/>
          </w:tcPr>
          <w:p w14:paraId="751E86CA" w14:textId="3EEFC8E8" w:rsidR="005F6F60" w:rsidRPr="00034E8D" w:rsidRDefault="005F6F60" w:rsidP="005F6F6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Udział taboru własnego beneficjenta w wojewódzkich przewozach pasażerskich</w:t>
            </w:r>
          </w:p>
        </w:tc>
        <w:tc>
          <w:tcPr>
            <w:tcW w:w="1028" w:type="dxa"/>
            <w:vAlign w:val="center"/>
          </w:tcPr>
          <w:p w14:paraId="5D43BBB8" w14:textId="35A9C5D7" w:rsidR="005F6F60" w:rsidRDefault="005F6F60" w:rsidP="005F6F60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[%]</w:t>
            </w:r>
          </w:p>
        </w:tc>
        <w:tc>
          <w:tcPr>
            <w:tcW w:w="7938" w:type="dxa"/>
            <w:gridSpan w:val="3"/>
            <w:vAlign w:val="center"/>
          </w:tcPr>
          <w:p w14:paraId="1D54A0CA" w14:textId="77777777" w:rsidR="005F6F60" w:rsidRPr="00F44AD2" w:rsidRDefault="005F6F60" w:rsidP="005F6F60">
            <w:pPr>
              <w:rPr>
                <w:rFonts w:cs="Arial"/>
                <w:sz w:val="20"/>
                <w:szCs w:val="20"/>
              </w:rPr>
            </w:pPr>
            <w:r w:rsidRPr="00F44AD2">
              <w:rPr>
                <w:rFonts w:cs="Arial"/>
                <w:sz w:val="20"/>
                <w:szCs w:val="20"/>
              </w:rPr>
              <w:t xml:space="preserve">Wskaźnik dotyczy procentowego udziału taboru własnego </w:t>
            </w:r>
            <w:r>
              <w:rPr>
                <w:rFonts w:cs="Arial"/>
                <w:sz w:val="20"/>
                <w:szCs w:val="20"/>
              </w:rPr>
              <w:t>beneficjenta w </w:t>
            </w:r>
            <w:r w:rsidRPr="00F44AD2">
              <w:rPr>
                <w:rFonts w:cs="Arial"/>
                <w:sz w:val="20"/>
                <w:szCs w:val="20"/>
              </w:rPr>
              <w:t>wojewódzkich przewozach pasażerskich. Do oszacowania wartości wskaźnika należy zastosować poniższy wzór:</w:t>
            </w:r>
          </w:p>
          <w:p w14:paraId="52A9236C" w14:textId="77777777" w:rsidR="005F6F60" w:rsidRPr="00F44AD2" w:rsidRDefault="00207B34" w:rsidP="005F6F60">
            <w:pPr>
              <w:rPr>
                <w:rFonts w:cs="Arial"/>
                <w:i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W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u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b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w</m:t>
                      </m:r>
                    </m:sub>
                  </m:sSub>
                </m:den>
              </m:f>
            </m:oMath>
            <w:r w:rsidR="005F6F60" w:rsidRPr="00F44AD2">
              <w:rPr>
                <w:rFonts w:cs="Arial"/>
                <w:i/>
                <w:sz w:val="20"/>
                <w:szCs w:val="20"/>
              </w:rPr>
              <w:t xml:space="preserve"> x 100%</w:t>
            </w:r>
          </w:p>
          <w:p w14:paraId="3DC0CF5C" w14:textId="77777777" w:rsidR="005F6F60" w:rsidRPr="00F44AD2" w:rsidRDefault="005F6F60" w:rsidP="005F6F60">
            <w:pPr>
              <w:spacing w:before="240"/>
              <w:rPr>
                <w:rFonts w:cs="Arial"/>
                <w:sz w:val="20"/>
                <w:szCs w:val="20"/>
              </w:rPr>
            </w:pPr>
            <w:r w:rsidRPr="00F44AD2">
              <w:rPr>
                <w:rFonts w:cs="Arial"/>
                <w:sz w:val="20"/>
                <w:szCs w:val="20"/>
              </w:rPr>
              <w:t>gdzie:</w:t>
            </w:r>
          </w:p>
          <w:p w14:paraId="28DFD032" w14:textId="6B202E4E" w:rsidR="005F6F60" w:rsidRPr="00F44AD2" w:rsidRDefault="00207B34" w:rsidP="005F6F60">
            <w:pPr>
              <w:rPr>
                <w:rFonts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W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u</m:t>
                  </m:r>
                </m:sub>
              </m:sSub>
            </m:oMath>
            <w:r w:rsidR="005F6F60" w:rsidRPr="00F44AD2">
              <w:rPr>
                <w:rFonts w:cs="Arial"/>
                <w:sz w:val="20"/>
                <w:szCs w:val="20"/>
              </w:rPr>
              <w:t>- wskaźnik udziału taboru własnego beneficjenta w wojewódzkich przewozach pasażerskich;</w:t>
            </w:r>
          </w:p>
          <w:p w14:paraId="2D42C47D" w14:textId="77777777" w:rsidR="005F6F60" w:rsidRPr="00F44AD2" w:rsidRDefault="00207B34" w:rsidP="005F6F60">
            <w:pPr>
              <w:rPr>
                <w:rFonts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sub>
              </m:sSub>
            </m:oMath>
            <w:r w:rsidR="005F6F60" w:rsidRPr="00F44AD2">
              <w:rPr>
                <w:rFonts w:cs="Arial"/>
                <w:sz w:val="20"/>
                <w:szCs w:val="20"/>
              </w:rPr>
              <w:t xml:space="preserve"> – ilość pojazdów szynowych będących własnością beneficjenta wykorzystywanych w wojewódzkich przewozach pasażerskich w danym roku;</w:t>
            </w:r>
          </w:p>
          <w:p w14:paraId="0A856880" w14:textId="7578BD55" w:rsidR="005F6F60" w:rsidRPr="00E65BF4" w:rsidRDefault="00207B34" w:rsidP="005F6F60">
            <w:pPr>
              <w:spacing w:before="60" w:after="60"/>
              <w:rPr>
                <w:rFonts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w</m:t>
                  </m:r>
                </m:sub>
              </m:sSub>
            </m:oMath>
            <w:r w:rsidR="005F6F60" w:rsidRPr="00F44AD2">
              <w:rPr>
                <w:rFonts w:cs="Arial"/>
                <w:sz w:val="20"/>
                <w:szCs w:val="20"/>
              </w:rPr>
              <w:t xml:space="preserve"> – ilość wszystkich pojazdów szynowych wykorzystywanych do wojewódzkich przewozów pasażerskich w danym roku.</w:t>
            </w:r>
          </w:p>
        </w:tc>
      </w:tr>
    </w:tbl>
    <w:p w14:paraId="5CB392DA" w14:textId="77777777" w:rsidR="00926BDB" w:rsidRDefault="00926BDB" w:rsidP="00052634">
      <w:pPr>
        <w:rPr>
          <w:rFonts w:cs="Arial"/>
          <w:b/>
          <w:sz w:val="20"/>
          <w:szCs w:val="20"/>
        </w:rPr>
      </w:pPr>
    </w:p>
    <w:p w14:paraId="7015A4E9" w14:textId="097238DC" w:rsidR="002C2389" w:rsidRPr="002C2389" w:rsidRDefault="002C2389" w:rsidP="002C2389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C6D9C">
        <w:rPr>
          <w:rFonts w:ascii="Arial" w:hAnsi="Arial" w:cs="Arial"/>
          <w:sz w:val="22"/>
          <w:szCs w:val="22"/>
        </w:rPr>
        <w:t xml:space="preserve">* </w:t>
      </w:r>
      <w:r w:rsidRPr="002C2389">
        <w:rPr>
          <w:rFonts w:ascii="Arial" w:hAnsi="Arial" w:cs="Arial"/>
          <w:sz w:val="20"/>
          <w:szCs w:val="20"/>
        </w:rPr>
        <w:t>IZ może dopuścić stosowanie na poziomie projektu, obok WLWK 2014</w:t>
      </w:r>
      <w:r w:rsidR="00C306A9">
        <w:rPr>
          <w:rFonts w:ascii="Arial" w:hAnsi="Arial" w:cs="Arial"/>
          <w:sz w:val="20"/>
          <w:szCs w:val="20"/>
        </w:rPr>
        <w:t xml:space="preserve"> - 2020</w:t>
      </w:r>
      <w:r w:rsidRPr="002C2389">
        <w:rPr>
          <w:rFonts w:ascii="Arial" w:hAnsi="Arial" w:cs="Arial"/>
          <w:sz w:val="20"/>
          <w:szCs w:val="20"/>
        </w:rPr>
        <w:t>, wskaźników uwzględniających specyfikę danego projektu, określonych przez beneficjenta (wskaźniki specyficzne dla projektu). Wskaźniki specyficzne dla projektu podlegają monitorowaniu i rozliczeniu na poziomie projektu z uwagi na ograniczoną możliwość ich agregowania i porównywania pomiędzy projektami.</w:t>
      </w:r>
    </w:p>
    <w:p w14:paraId="0964782F" w14:textId="77777777" w:rsidR="00AE51E3" w:rsidRDefault="00AE51E3" w:rsidP="00052634">
      <w:pPr>
        <w:rPr>
          <w:rFonts w:cs="Arial"/>
          <w:b/>
          <w:sz w:val="20"/>
          <w:szCs w:val="20"/>
        </w:rPr>
      </w:pPr>
    </w:p>
    <w:p w14:paraId="6E634829" w14:textId="77777777" w:rsidR="00052634" w:rsidRDefault="00052634" w:rsidP="00052634">
      <w:pPr>
        <w:rPr>
          <w:rFonts w:cs="Arial"/>
          <w:b/>
          <w:sz w:val="20"/>
          <w:szCs w:val="20"/>
        </w:rPr>
      </w:pPr>
      <w:r w:rsidRPr="00BB7898">
        <w:rPr>
          <w:rFonts w:cs="Arial"/>
          <w:b/>
          <w:sz w:val="20"/>
          <w:szCs w:val="20"/>
        </w:rPr>
        <w:t xml:space="preserve">UWAGA </w:t>
      </w:r>
    </w:p>
    <w:p w14:paraId="71D449B9" w14:textId="77777777" w:rsidR="00E673B1" w:rsidRDefault="00E673B1" w:rsidP="00E673B1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  <w:lang w:eastAsia="ko-KR"/>
        </w:rPr>
        <w:t xml:space="preserve">Planowane przedsięwzięcie należy opisać za pomocą wskaźników ustalonych dla danego naboru wniosków o dofinansowanie, zgodnie </w:t>
      </w:r>
      <w:r>
        <w:rPr>
          <w:rFonts w:cs="Arial"/>
          <w:szCs w:val="22"/>
          <w:lang w:eastAsia="ko-KR"/>
        </w:rPr>
        <w:br/>
        <w:t>z powyższą listą.</w:t>
      </w:r>
      <w:r>
        <w:rPr>
          <w:rFonts w:cs="Arial"/>
          <w:szCs w:val="22"/>
        </w:rPr>
        <w:t xml:space="preserve"> </w:t>
      </w:r>
    </w:p>
    <w:p w14:paraId="781D2FB8" w14:textId="77777777" w:rsidR="00E673B1" w:rsidRDefault="00E673B1" w:rsidP="00E673B1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Dla każdego projektu należy wybrać wszystkie wskaźniki produktu i rezultatu właściwe dla zakresu projektu.</w:t>
      </w:r>
    </w:p>
    <w:p w14:paraId="12BCAD3E" w14:textId="480152E4" w:rsidR="00E673B1" w:rsidRDefault="00E673B1" w:rsidP="00E673B1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  <w:lang w:eastAsia="ko-KR"/>
        </w:rPr>
        <w:t xml:space="preserve">Wskaźniki </w:t>
      </w:r>
      <w:r>
        <w:rPr>
          <w:rFonts w:cs="Arial"/>
          <w:szCs w:val="22"/>
          <w:u w:val="single"/>
          <w:lang w:eastAsia="ko-KR"/>
        </w:rPr>
        <w:t>produktu</w:t>
      </w:r>
      <w:r>
        <w:rPr>
          <w:rFonts w:cs="Arial"/>
          <w:szCs w:val="22"/>
          <w:lang w:eastAsia="ko-KR"/>
        </w:rPr>
        <w:t xml:space="preserve"> odnoszą się do </w:t>
      </w:r>
      <w:r>
        <w:rPr>
          <w:rFonts w:cs="Arial"/>
          <w:szCs w:val="22"/>
        </w:rPr>
        <w:t>bezpośrednich, materialnych efektów realizacji przedsięwzięcia, które można zmierzyć  konkretnymi wielkościami fizycznymi. Wartości uzyskanych produktów wynikać będą najczęściej z protokołów odbioru robót, dostaw i usług, inwentaryzacji geodezyjnej powykonawczej i innych dokumentów związanych z rozliczeniami inwestora z wykonawcą</w:t>
      </w:r>
      <w:r w:rsidR="00C306A9">
        <w:rPr>
          <w:rFonts w:cs="Arial"/>
          <w:szCs w:val="22"/>
        </w:rPr>
        <w:t xml:space="preserve">. Wskaźniki produktu występują </w:t>
      </w:r>
      <w:r>
        <w:rPr>
          <w:rFonts w:cs="Arial"/>
          <w:szCs w:val="22"/>
        </w:rPr>
        <w:t>z dniem odbioru i przekazania inwestycji do użytkowania.</w:t>
      </w:r>
    </w:p>
    <w:p w14:paraId="6B4EDFB0" w14:textId="77777777" w:rsidR="00E673B1" w:rsidRDefault="00E673B1" w:rsidP="00E673B1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  <w:u w:val="single"/>
        </w:rPr>
        <w:t>Rezultaty</w:t>
      </w:r>
      <w:r>
        <w:rPr>
          <w:rFonts w:cs="Arial"/>
          <w:szCs w:val="22"/>
        </w:rPr>
        <w:t xml:space="preserve"> opisują wpływ zrealizowanego przedsięwzięcia na grupy docelowe (np. beneficjenta, odbiorców ostatecznych) i otoczenie społeczno-ekonomiczne, uzyskane bezpośrednio po zakończeniu realizacji projektu. Wskaźniki rezultatów są niezbędne do monitorowania efektów realizacji projektów i Programu.</w:t>
      </w:r>
      <w:r>
        <w:rPr>
          <w:rFonts w:cs="Arial"/>
          <w:szCs w:val="22"/>
          <w:lang w:eastAsia="ko-KR"/>
        </w:rPr>
        <w:t xml:space="preserve"> </w:t>
      </w:r>
      <w:r>
        <w:rPr>
          <w:rFonts w:cs="Arial"/>
          <w:szCs w:val="22"/>
        </w:rPr>
        <w:t xml:space="preserve"> Wartości należy podać zgodnie z ustaloną dla danego wskaźnika jednostką miary. </w:t>
      </w:r>
    </w:p>
    <w:p w14:paraId="2C5E5758" w14:textId="7B16532F" w:rsidR="00E673B1" w:rsidRDefault="00E673B1" w:rsidP="00E673B1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  <w:lang w:eastAsia="ko-KR"/>
        </w:rPr>
        <w:t xml:space="preserve">Wskaźniki kluczowe są opisane w załączniku do </w:t>
      </w:r>
      <w:r>
        <w:rPr>
          <w:rFonts w:cs="Arial"/>
          <w:i/>
          <w:szCs w:val="22"/>
          <w:lang w:eastAsia="ko-KR"/>
        </w:rPr>
        <w:t>Wytycznych</w:t>
      </w:r>
      <w:r w:rsidR="00C306A9">
        <w:rPr>
          <w:rFonts w:cs="Arial"/>
          <w:szCs w:val="22"/>
          <w:lang w:eastAsia="ko-KR"/>
        </w:rPr>
        <w:t xml:space="preserve"> </w:t>
      </w:r>
      <w:proofErr w:type="spellStart"/>
      <w:r w:rsidR="00C306A9">
        <w:rPr>
          <w:rFonts w:cs="Arial"/>
          <w:szCs w:val="22"/>
          <w:lang w:eastAsia="ko-KR"/>
        </w:rPr>
        <w:t>MF</w:t>
      </w:r>
      <w:r>
        <w:rPr>
          <w:rFonts w:cs="Arial"/>
          <w:szCs w:val="22"/>
          <w:lang w:eastAsia="ko-KR"/>
        </w:rPr>
        <w:t>i</w:t>
      </w:r>
      <w:r w:rsidR="00C306A9">
        <w:rPr>
          <w:rFonts w:cs="Arial"/>
          <w:szCs w:val="22"/>
          <w:lang w:val="pl-PL" w:eastAsia="ko-KR"/>
        </w:rPr>
        <w:t>P</w:t>
      </w:r>
      <w:proofErr w:type="spellEnd"/>
      <w:r>
        <w:rPr>
          <w:rFonts w:cs="Arial"/>
          <w:szCs w:val="22"/>
          <w:lang w:eastAsia="ko-KR"/>
        </w:rPr>
        <w:t xml:space="preserve">R </w:t>
      </w:r>
      <w:r w:rsidR="00BD5E79">
        <w:rPr>
          <w:rFonts w:cs="Arial"/>
          <w:i/>
          <w:szCs w:val="22"/>
          <w:lang w:eastAsia="ko-KR"/>
        </w:rPr>
        <w:t>w zakresie</w:t>
      </w:r>
      <w:r>
        <w:rPr>
          <w:rFonts w:cs="Arial"/>
          <w:i/>
          <w:szCs w:val="22"/>
          <w:lang w:eastAsia="ko-KR"/>
        </w:rPr>
        <w:t xml:space="preserve"> monitorowania postępu rzeczowego realizacji programów operacyjnych na lata 2014-2020</w:t>
      </w:r>
      <w:r>
        <w:rPr>
          <w:rFonts w:cs="Arial"/>
          <w:szCs w:val="22"/>
          <w:lang w:eastAsia="ko-KR"/>
        </w:rPr>
        <w:t>.</w:t>
      </w:r>
      <w:r>
        <w:rPr>
          <w:rFonts w:cs="Arial"/>
          <w:szCs w:val="22"/>
        </w:rPr>
        <w:t xml:space="preserve"> Informacje przedstawione w niniejszym dokumencie doprecyzowują zamieszczone tam informacje do warunków związanych z naborem w</w:t>
      </w:r>
      <w:r w:rsidR="008D3EC2">
        <w:rPr>
          <w:rFonts w:cs="Arial"/>
          <w:szCs w:val="22"/>
          <w:lang w:val="pl-PL"/>
        </w:rPr>
        <w:t> </w:t>
      </w:r>
      <w:r>
        <w:rPr>
          <w:rFonts w:cs="Arial"/>
          <w:szCs w:val="22"/>
        </w:rPr>
        <w:t>ramach działania 5.</w:t>
      </w:r>
      <w:r w:rsidR="00C306A9">
        <w:rPr>
          <w:rFonts w:cs="Arial"/>
          <w:szCs w:val="22"/>
          <w:lang w:val="pl-PL"/>
        </w:rPr>
        <w:t>3</w:t>
      </w:r>
      <w:r>
        <w:rPr>
          <w:rFonts w:cs="Arial"/>
          <w:szCs w:val="22"/>
        </w:rPr>
        <w:t xml:space="preserve"> RPO WP 2014-2020.</w:t>
      </w:r>
    </w:p>
    <w:p w14:paraId="3A4985DD" w14:textId="77777777" w:rsidR="00E673B1" w:rsidRDefault="00E673B1" w:rsidP="00E673B1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Wskaźniki należy oszacować rzetelnie mając na uwadze, że Wnioskodawca jest zobowiązany do monitorowania postępu w zakresie ich osiągania oraz będzie rozliczany z ich wypełnienia. </w:t>
      </w:r>
    </w:p>
    <w:p w14:paraId="31A14049" w14:textId="77777777" w:rsidR="007D61B2" w:rsidRPr="00AC08DE" w:rsidRDefault="00E673B1" w:rsidP="00AC08DE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Dodatkowe informacje na temat wskaźników podano w </w:t>
      </w:r>
      <w:r>
        <w:rPr>
          <w:rFonts w:cs="Arial"/>
          <w:i/>
          <w:szCs w:val="22"/>
        </w:rPr>
        <w:t>Instrukcji wypełniania wniosku</w:t>
      </w:r>
      <w:r>
        <w:rPr>
          <w:rFonts w:cs="Arial"/>
          <w:szCs w:val="22"/>
        </w:rPr>
        <w:t xml:space="preserve"> oraz w </w:t>
      </w:r>
      <w:r>
        <w:rPr>
          <w:rFonts w:cs="Arial"/>
          <w:i/>
          <w:szCs w:val="22"/>
        </w:rPr>
        <w:t>Instrukcji do opracowania studium wykonalności</w:t>
      </w:r>
      <w:r>
        <w:rPr>
          <w:rFonts w:cs="Arial"/>
          <w:szCs w:val="22"/>
        </w:rPr>
        <w:t>.</w:t>
      </w:r>
    </w:p>
    <w:sectPr w:rsidR="007D61B2" w:rsidRPr="00AC08DE" w:rsidSect="00DC3E7D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134" w:right="1258" w:bottom="851" w:left="107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89CE4" w14:textId="77777777" w:rsidR="00EB022A" w:rsidRDefault="00EB022A" w:rsidP="00E865C7">
      <w:r>
        <w:separator/>
      </w:r>
    </w:p>
  </w:endnote>
  <w:endnote w:type="continuationSeparator" w:id="0">
    <w:p w14:paraId="11EACA68" w14:textId="77777777" w:rsidR="00EB022A" w:rsidRDefault="00EB022A" w:rsidP="00E8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4C989" w14:textId="77777777" w:rsidR="008F1370" w:rsidRPr="000E1F2D" w:rsidRDefault="008F1370" w:rsidP="00E04B64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4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7B3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D7482A1" w14:textId="77777777" w:rsidR="008F1370" w:rsidRDefault="008F1370" w:rsidP="00E04B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CFC77" w14:textId="77777777" w:rsidR="008F1370" w:rsidRPr="000E1F2D" w:rsidRDefault="008F1370" w:rsidP="00E04B64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4"/>
      </w:rPr>
    </w:pPr>
    <w:r w:rsidRPr="000E1F2D">
      <w:rPr>
        <w:rStyle w:val="Numerstrony"/>
        <w:rFonts w:ascii="Arial" w:hAnsi="Arial" w:cs="Arial"/>
        <w:sz w:val="24"/>
      </w:rPr>
      <w:fldChar w:fldCharType="begin"/>
    </w:r>
    <w:r w:rsidRPr="000E1F2D">
      <w:rPr>
        <w:rStyle w:val="Numerstrony"/>
        <w:rFonts w:ascii="Arial" w:hAnsi="Arial" w:cs="Arial"/>
        <w:sz w:val="24"/>
      </w:rPr>
      <w:instrText xml:space="preserve">PAGE  </w:instrText>
    </w:r>
    <w:r w:rsidRPr="000E1F2D">
      <w:rPr>
        <w:rStyle w:val="Numerstrony"/>
        <w:rFonts w:ascii="Arial" w:hAnsi="Arial" w:cs="Arial"/>
        <w:sz w:val="24"/>
      </w:rPr>
      <w:fldChar w:fldCharType="separate"/>
    </w:r>
    <w:r w:rsidR="00207B34">
      <w:rPr>
        <w:rStyle w:val="Numerstrony"/>
        <w:rFonts w:ascii="Arial" w:hAnsi="Arial" w:cs="Arial"/>
        <w:noProof/>
        <w:sz w:val="24"/>
      </w:rPr>
      <w:t>5</w:t>
    </w:r>
    <w:r w:rsidRPr="000E1F2D">
      <w:rPr>
        <w:rStyle w:val="Numerstrony"/>
        <w:rFonts w:ascii="Arial" w:hAnsi="Arial" w:cs="Arial"/>
        <w:sz w:val="24"/>
      </w:rPr>
      <w:fldChar w:fldCharType="end"/>
    </w:r>
  </w:p>
  <w:p w14:paraId="1DAE487C" w14:textId="77777777" w:rsidR="008F1370" w:rsidRDefault="008F1370" w:rsidP="00815A1E">
    <w:pPr>
      <w:pStyle w:val="Stopka"/>
      <w:ind w:right="360"/>
    </w:pPr>
  </w:p>
  <w:p w14:paraId="421F7C36" w14:textId="77777777" w:rsidR="008F1370" w:rsidRDefault="008F1370" w:rsidP="00815A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633D6" w14:textId="77777777" w:rsidR="00EB022A" w:rsidRDefault="00EB022A" w:rsidP="00E865C7">
      <w:r>
        <w:separator/>
      </w:r>
    </w:p>
  </w:footnote>
  <w:footnote w:type="continuationSeparator" w:id="0">
    <w:p w14:paraId="62A26574" w14:textId="77777777" w:rsidR="00EB022A" w:rsidRDefault="00EB022A" w:rsidP="00E865C7">
      <w:r>
        <w:continuationSeparator/>
      </w:r>
    </w:p>
  </w:footnote>
  <w:footnote w:id="1">
    <w:p w14:paraId="74476F02" w14:textId="56B4F836" w:rsidR="00A4777E" w:rsidRPr="00A4777E" w:rsidRDefault="00A4777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Zatrudnienie w ekwiwalentach pełnego czasu pracy ustala się na podstawie proporcji czasu przepracowanego przez poszczególnych pracowników w ciągu roku sprawozdawczego w stosunku do pełnego czasu pracy obowiązującego w danej instytucji. Przy wyliczeniu EPC w odniesieniu do umów o pracę nie należy odejmować urlopów wypoczynkowych, absencji oraz innych nieobecności usprawiedliwionych (poza urlopami bezpłatnymi i urlopami wychowawczymi trwającymi nieprzerwanie powyżej 3 miesięcy.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9C934" w14:textId="77777777" w:rsidR="008F1370" w:rsidRDefault="008F1370">
    <w:pPr>
      <w:pStyle w:val="Nagwek"/>
      <w:jc w:val="center"/>
      <w:rPr>
        <w:rFonts w:cs="Arial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95B07" w14:textId="598FCE77" w:rsidR="008F1370" w:rsidRDefault="00D7150E" w:rsidP="00745A8C">
    <w:pPr>
      <w:pStyle w:val="Nagwek"/>
      <w:jc w:val="center"/>
    </w:pPr>
    <w:r w:rsidRPr="00C151EC">
      <w:rPr>
        <w:noProof/>
        <w:color w:val="FF0000"/>
        <w:lang w:val="pl-PL"/>
      </w:rPr>
      <w:drawing>
        <wp:inline distT="0" distB="0" distL="0" distR="0" wp14:anchorId="4A7E4E77" wp14:editId="25EAE295">
          <wp:extent cx="8131962" cy="590550"/>
          <wp:effectExtent l="0" t="0" r="2540" b="0"/>
          <wp:docPr id="9" name="Obraz 9" descr="Logotypy: Fundusze europejskie, Rzeczpospolita Polska, Podkarpackie przestrzeń otwarta oraz Unia Europejska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.Lewandowski\AppData\Local\Microsoft\Windows\INetCache\Content.Word\fepr-pl-podk-ue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816" cy="590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9A3"/>
    <w:multiLevelType w:val="hybridMultilevel"/>
    <w:tmpl w:val="4C6C3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316B"/>
    <w:multiLevelType w:val="hybridMultilevel"/>
    <w:tmpl w:val="161ED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D7761"/>
    <w:multiLevelType w:val="hybridMultilevel"/>
    <w:tmpl w:val="6AB88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B784E"/>
    <w:multiLevelType w:val="hybridMultilevel"/>
    <w:tmpl w:val="43265CAA"/>
    <w:lvl w:ilvl="0" w:tplc="A09C2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0477"/>
    <w:multiLevelType w:val="multilevel"/>
    <w:tmpl w:val="E8E0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1D38F2"/>
    <w:multiLevelType w:val="hybridMultilevel"/>
    <w:tmpl w:val="BA5C01A8"/>
    <w:lvl w:ilvl="0" w:tplc="75DE49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15B0E3B"/>
    <w:multiLevelType w:val="hybridMultilevel"/>
    <w:tmpl w:val="387C6A1C"/>
    <w:lvl w:ilvl="0" w:tplc="35EC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E4928"/>
    <w:multiLevelType w:val="hybridMultilevel"/>
    <w:tmpl w:val="B17466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4152E7"/>
    <w:multiLevelType w:val="hybridMultilevel"/>
    <w:tmpl w:val="DE74C736"/>
    <w:lvl w:ilvl="0" w:tplc="25D82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7532A"/>
    <w:multiLevelType w:val="hybridMultilevel"/>
    <w:tmpl w:val="35FC6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35928"/>
    <w:multiLevelType w:val="hybridMultilevel"/>
    <w:tmpl w:val="5F720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17285"/>
    <w:multiLevelType w:val="hybridMultilevel"/>
    <w:tmpl w:val="3D728842"/>
    <w:lvl w:ilvl="0" w:tplc="9E50E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E0765"/>
    <w:multiLevelType w:val="hybridMultilevel"/>
    <w:tmpl w:val="CB029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83364"/>
    <w:multiLevelType w:val="hybridMultilevel"/>
    <w:tmpl w:val="5F720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837B5"/>
    <w:multiLevelType w:val="hybridMultilevel"/>
    <w:tmpl w:val="CB401476"/>
    <w:lvl w:ilvl="0" w:tplc="35EC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F0955"/>
    <w:multiLevelType w:val="hybridMultilevel"/>
    <w:tmpl w:val="5F720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13E5B"/>
    <w:multiLevelType w:val="hybridMultilevel"/>
    <w:tmpl w:val="D8F245C8"/>
    <w:lvl w:ilvl="0" w:tplc="D5FEEA0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E195720"/>
    <w:multiLevelType w:val="hybridMultilevel"/>
    <w:tmpl w:val="71D09E0C"/>
    <w:lvl w:ilvl="0" w:tplc="35EC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43FF6"/>
    <w:multiLevelType w:val="hybridMultilevel"/>
    <w:tmpl w:val="3D728842"/>
    <w:lvl w:ilvl="0" w:tplc="9E50E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07570"/>
    <w:multiLevelType w:val="hybridMultilevel"/>
    <w:tmpl w:val="570AAD08"/>
    <w:lvl w:ilvl="0" w:tplc="CE1A6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28F"/>
    <w:multiLevelType w:val="hybridMultilevel"/>
    <w:tmpl w:val="895050C0"/>
    <w:lvl w:ilvl="0" w:tplc="35EC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C5E2D"/>
    <w:multiLevelType w:val="hybridMultilevel"/>
    <w:tmpl w:val="5F720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D1926"/>
    <w:multiLevelType w:val="hybridMultilevel"/>
    <w:tmpl w:val="EEA82B44"/>
    <w:lvl w:ilvl="0" w:tplc="35EC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F22D3"/>
    <w:multiLevelType w:val="hybridMultilevel"/>
    <w:tmpl w:val="89D2A21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86F85"/>
    <w:multiLevelType w:val="hybridMultilevel"/>
    <w:tmpl w:val="5F720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54996"/>
    <w:multiLevelType w:val="hybridMultilevel"/>
    <w:tmpl w:val="9B9E899A"/>
    <w:lvl w:ilvl="0" w:tplc="04150011">
      <w:start w:val="1"/>
      <w:numFmt w:val="decimal"/>
      <w:lvlText w:val="%1)"/>
      <w:lvlJc w:val="left"/>
      <w:pPr>
        <w:ind w:left="9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7" w:hanging="360"/>
      </w:pPr>
    </w:lvl>
    <w:lvl w:ilvl="2" w:tplc="0415001B" w:tentative="1">
      <w:start w:val="1"/>
      <w:numFmt w:val="lowerRoman"/>
      <w:lvlText w:val="%3."/>
      <w:lvlJc w:val="right"/>
      <w:pPr>
        <w:ind w:left="2397" w:hanging="180"/>
      </w:pPr>
    </w:lvl>
    <w:lvl w:ilvl="3" w:tplc="0415000F" w:tentative="1">
      <w:start w:val="1"/>
      <w:numFmt w:val="decimal"/>
      <w:lvlText w:val="%4."/>
      <w:lvlJc w:val="left"/>
      <w:pPr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26" w15:restartNumberingAfterBreak="0">
    <w:nsid w:val="67EA3EA3"/>
    <w:multiLevelType w:val="hybridMultilevel"/>
    <w:tmpl w:val="5F720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34BBE"/>
    <w:multiLevelType w:val="hybridMultilevel"/>
    <w:tmpl w:val="5F720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21DD0"/>
    <w:multiLevelType w:val="hybridMultilevel"/>
    <w:tmpl w:val="5F720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D0704"/>
    <w:multiLevelType w:val="hybridMultilevel"/>
    <w:tmpl w:val="CD3620F8"/>
    <w:lvl w:ilvl="0" w:tplc="D5FEE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F454C"/>
    <w:multiLevelType w:val="hybridMultilevel"/>
    <w:tmpl w:val="530A05A8"/>
    <w:lvl w:ilvl="0" w:tplc="35EC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222F1"/>
    <w:multiLevelType w:val="hybridMultilevel"/>
    <w:tmpl w:val="78DE3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448FA"/>
    <w:multiLevelType w:val="hybridMultilevel"/>
    <w:tmpl w:val="5F720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F278F"/>
    <w:multiLevelType w:val="hybridMultilevel"/>
    <w:tmpl w:val="236EB7B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1"/>
  </w:num>
  <w:num w:numId="11">
    <w:abstractNumId w:val="19"/>
  </w:num>
  <w:num w:numId="12">
    <w:abstractNumId w:val="18"/>
  </w:num>
  <w:num w:numId="13">
    <w:abstractNumId w:val="29"/>
  </w:num>
  <w:num w:numId="14">
    <w:abstractNumId w:val="12"/>
  </w:num>
  <w:num w:numId="15">
    <w:abstractNumId w:val="17"/>
  </w:num>
  <w:num w:numId="16">
    <w:abstractNumId w:val="20"/>
  </w:num>
  <w:num w:numId="17">
    <w:abstractNumId w:val="14"/>
  </w:num>
  <w:num w:numId="18">
    <w:abstractNumId w:val="30"/>
  </w:num>
  <w:num w:numId="19">
    <w:abstractNumId w:val="6"/>
  </w:num>
  <w:num w:numId="20">
    <w:abstractNumId w:val="25"/>
  </w:num>
  <w:num w:numId="21">
    <w:abstractNumId w:val="4"/>
  </w:num>
  <w:num w:numId="22">
    <w:abstractNumId w:val="22"/>
  </w:num>
  <w:num w:numId="23">
    <w:abstractNumId w:val="26"/>
  </w:num>
  <w:num w:numId="24">
    <w:abstractNumId w:val="28"/>
  </w:num>
  <w:num w:numId="25">
    <w:abstractNumId w:val="13"/>
  </w:num>
  <w:num w:numId="26">
    <w:abstractNumId w:val="24"/>
  </w:num>
  <w:num w:numId="27">
    <w:abstractNumId w:val="32"/>
  </w:num>
  <w:num w:numId="28">
    <w:abstractNumId w:val="21"/>
  </w:num>
  <w:num w:numId="29">
    <w:abstractNumId w:val="1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3"/>
  </w:num>
  <w:num w:numId="34">
    <w:abstractNumId w:val="33"/>
  </w:num>
  <w:num w:numId="35">
    <w:abstractNumId w:val="3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57"/>
    <w:rsid w:val="00000C0E"/>
    <w:rsid w:val="00001EF1"/>
    <w:rsid w:val="000038F1"/>
    <w:rsid w:val="00004295"/>
    <w:rsid w:val="000045FF"/>
    <w:rsid w:val="00010F01"/>
    <w:rsid w:val="00010F79"/>
    <w:rsid w:val="00011C75"/>
    <w:rsid w:val="00013417"/>
    <w:rsid w:val="0001466A"/>
    <w:rsid w:val="00014D40"/>
    <w:rsid w:val="00020143"/>
    <w:rsid w:val="00027884"/>
    <w:rsid w:val="000301D3"/>
    <w:rsid w:val="0003314D"/>
    <w:rsid w:val="00034F69"/>
    <w:rsid w:val="000469B6"/>
    <w:rsid w:val="000479AE"/>
    <w:rsid w:val="00050836"/>
    <w:rsid w:val="00052634"/>
    <w:rsid w:val="00060CDF"/>
    <w:rsid w:val="00072521"/>
    <w:rsid w:val="00074198"/>
    <w:rsid w:val="00074E92"/>
    <w:rsid w:val="00075468"/>
    <w:rsid w:val="0007549A"/>
    <w:rsid w:val="00080149"/>
    <w:rsid w:val="00080D70"/>
    <w:rsid w:val="00081281"/>
    <w:rsid w:val="00081F74"/>
    <w:rsid w:val="00082F34"/>
    <w:rsid w:val="000852AA"/>
    <w:rsid w:val="000855C5"/>
    <w:rsid w:val="00091539"/>
    <w:rsid w:val="00091C04"/>
    <w:rsid w:val="0009736B"/>
    <w:rsid w:val="000A28E3"/>
    <w:rsid w:val="000A5530"/>
    <w:rsid w:val="000A6B98"/>
    <w:rsid w:val="000B126B"/>
    <w:rsid w:val="000B59E9"/>
    <w:rsid w:val="000B5D0C"/>
    <w:rsid w:val="000B7007"/>
    <w:rsid w:val="000B7C7C"/>
    <w:rsid w:val="000D2C5D"/>
    <w:rsid w:val="000D5606"/>
    <w:rsid w:val="000E1F2D"/>
    <w:rsid w:val="000E3D9A"/>
    <w:rsid w:val="000E7E2C"/>
    <w:rsid w:val="000F19EA"/>
    <w:rsid w:val="000F204A"/>
    <w:rsid w:val="000F6C26"/>
    <w:rsid w:val="0010050C"/>
    <w:rsid w:val="00101B0E"/>
    <w:rsid w:val="001058C6"/>
    <w:rsid w:val="001248CC"/>
    <w:rsid w:val="00124B5D"/>
    <w:rsid w:val="00125326"/>
    <w:rsid w:val="001311D9"/>
    <w:rsid w:val="00131EFD"/>
    <w:rsid w:val="00132C16"/>
    <w:rsid w:val="00135261"/>
    <w:rsid w:val="001402E2"/>
    <w:rsid w:val="001467E0"/>
    <w:rsid w:val="00150696"/>
    <w:rsid w:val="0015674C"/>
    <w:rsid w:val="00162831"/>
    <w:rsid w:val="0016469B"/>
    <w:rsid w:val="001646AF"/>
    <w:rsid w:val="0016659F"/>
    <w:rsid w:val="00182004"/>
    <w:rsid w:val="0018395A"/>
    <w:rsid w:val="00186095"/>
    <w:rsid w:val="00190632"/>
    <w:rsid w:val="00190EF0"/>
    <w:rsid w:val="001943FE"/>
    <w:rsid w:val="00194686"/>
    <w:rsid w:val="001A29EA"/>
    <w:rsid w:val="001A5273"/>
    <w:rsid w:val="001A6E27"/>
    <w:rsid w:val="001B18E4"/>
    <w:rsid w:val="001B3096"/>
    <w:rsid w:val="001B5E0D"/>
    <w:rsid w:val="001C09F0"/>
    <w:rsid w:val="001C182C"/>
    <w:rsid w:val="001C30D7"/>
    <w:rsid w:val="001C37E3"/>
    <w:rsid w:val="001C6183"/>
    <w:rsid w:val="001D0E77"/>
    <w:rsid w:val="001D62D5"/>
    <w:rsid w:val="001D764E"/>
    <w:rsid w:val="001E036F"/>
    <w:rsid w:val="001E3A23"/>
    <w:rsid w:val="001F4EA0"/>
    <w:rsid w:val="002000CC"/>
    <w:rsid w:val="00201C36"/>
    <w:rsid w:val="0020225A"/>
    <w:rsid w:val="00202CC8"/>
    <w:rsid w:val="00205731"/>
    <w:rsid w:val="00206151"/>
    <w:rsid w:val="002064E1"/>
    <w:rsid w:val="0020734C"/>
    <w:rsid w:val="002073F7"/>
    <w:rsid w:val="00207B34"/>
    <w:rsid w:val="00210557"/>
    <w:rsid w:val="00220A42"/>
    <w:rsid w:val="00220EA8"/>
    <w:rsid w:val="00227490"/>
    <w:rsid w:val="00230909"/>
    <w:rsid w:val="00230F9D"/>
    <w:rsid w:val="0023697C"/>
    <w:rsid w:val="002417B4"/>
    <w:rsid w:val="00247809"/>
    <w:rsid w:val="00252015"/>
    <w:rsid w:val="00260460"/>
    <w:rsid w:val="00262328"/>
    <w:rsid w:val="0026283E"/>
    <w:rsid w:val="00263791"/>
    <w:rsid w:val="0026637B"/>
    <w:rsid w:val="00272E79"/>
    <w:rsid w:val="002745E0"/>
    <w:rsid w:val="00275975"/>
    <w:rsid w:val="00276AEC"/>
    <w:rsid w:val="00277FC7"/>
    <w:rsid w:val="0028048D"/>
    <w:rsid w:val="002854A5"/>
    <w:rsid w:val="0028587D"/>
    <w:rsid w:val="002865E7"/>
    <w:rsid w:val="00287F70"/>
    <w:rsid w:val="00290116"/>
    <w:rsid w:val="00292EE8"/>
    <w:rsid w:val="00293719"/>
    <w:rsid w:val="00294D03"/>
    <w:rsid w:val="00296434"/>
    <w:rsid w:val="00297A99"/>
    <w:rsid w:val="002A1CB5"/>
    <w:rsid w:val="002A35B2"/>
    <w:rsid w:val="002A5120"/>
    <w:rsid w:val="002B5A9B"/>
    <w:rsid w:val="002B6FEB"/>
    <w:rsid w:val="002C2389"/>
    <w:rsid w:val="002D0CA2"/>
    <w:rsid w:val="002D3F42"/>
    <w:rsid w:val="002D4A2E"/>
    <w:rsid w:val="002D5B2F"/>
    <w:rsid w:val="002E255A"/>
    <w:rsid w:val="002E3F99"/>
    <w:rsid w:val="002E4877"/>
    <w:rsid w:val="002E5681"/>
    <w:rsid w:val="002F24DB"/>
    <w:rsid w:val="002F38F9"/>
    <w:rsid w:val="00302B3E"/>
    <w:rsid w:val="003115F5"/>
    <w:rsid w:val="00313529"/>
    <w:rsid w:val="003227CB"/>
    <w:rsid w:val="00323238"/>
    <w:rsid w:val="00330BFE"/>
    <w:rsid w:val="00336361"/>
    <w:rsid w:val="0034182F"/>
    <w:rsid w:val="00341998"/>
    <w:rsid w:val="00341E70"/>
    <w:rsid w:val="00342863"/>
    <w:rsid w:val="00342AF6"/>
    <w:rsid w:val="003517E1"/>
    <w:rsid w:val="003537D8"/>
    <w:rsid w:val="0035606A"/>
    <w:rsid w:val="00356DD2"/>
    <w:rsid w:val="00357C97"/>
    <w:rsid w:val="003706CF"/>
    <w:rsid w:val="00373A22"/>
    <w:rsid w:val="00373E98"/>
    <w:rsid w:val="00375C27"/>
    <w:rsid w:val="00376070"/>
    <w:rsid w:val="00381307"/>
    <w:rsid w:val="003832E7"/>
    <w:rsid w:val="0038434E"/>
    <w:rsid w:val="00391452"/>
    <w:rsid w:val="00393E3C"/>
    <w:rsid w:val="00394F85"/>
    <w:rsid w:val="00396EDC"/>
    <w:rsid w:val="003A2570"/>
    <w:rsid w:val="003A672C"/>
    <w:rsid w:val="003B0D26"/>
    <w:rsid w:val="003B72F0"/>
    <w:rsid w:val="003B764D"/>
    <w:rsid w:val="003C7ADE"/>
    <w:rsid w:val="003D0E7E"/>
    <w:rsid w:val="003D1055"/>
    <w:rsid w:val="003D264D"/>
    <w:rsid w:val="003D33BB"/>
    <w:rsid w:val="003D50D1"/>
    <w:rsid w:val="003D6187"/>
    <w:rsid w:val="003D63A8"/>
    <w:rsid w:val="003E72F3"/>
    <w:rsid w:val="003F3100"/>
    <w:rsid w:val="003F79AF"/>
    <w:rsid w:val="00403F0B"/>
    <w:rsid w:val="004047A5"/>
    <w:rsid w:val="00404BA1"/>
    <w:rsid w:val="00406EF1"/>
    <w:rsid w:val="0041074F"/>
    <w:rsid w:val="004120B3"/>
    <w:rsid w:val="00416FD3"/>
    <w:rsid w:val="0042127D"/>
    <w:rsid w:val="00432F08"/>
    <w:rsid w:val="004330FA"/>
    <w:rsid w:val="00436150"/>
    <w:rsid w:val="00437E03"/>
    <w:rsid w:val="00437F6B"/>
    <w:rsid w:val="004417C9"/>
    <w:rsid w:val="00444F52"/>
    <w:rsid w:val="00450A0F"/>
    <w:rsid w:val="004542E4"/>
    <w:rsid w:val="00454AC5"/>
    <w:rsid w:val="00464248"/>
    <w:rsid w:val="00464315"/>
    <w:rsid w:val="004647A1"/>
    <w:rsid w:val="00464A30"/>
    <w:rsid w:val="0046519E"/>
    <w:rsid w:val="00465272"/>
    <w:rsid w:val="00465B71"/>
    <w:rsid w:val="00466222"/>
    <w:rsid w:val="0046713A"/>
    <w:rsid w:val="00467DBA"/>
    <w:rsid w:val="004702D2"/>
    <w:rsid w:val="004703DE"/>
    <w:rsid w:val="00471E05"/>
    <w:rsid w:val="00473655"/>
    <w:rsid w:val="004741A8"/>
    <w:rsid w:val="00490985"/>
    <w:rsid w:val="00491020"/>
    <w:rsid w:val="00492BDB"/>
    <w:rsid w:val="004934CF"/>
    <w:rsid w:val="00496E1A"/>
    <w:rsid w:val="0049709A"/>
    <w:rsid w:val="004974AA"/>
    <w:rsid w:val="004A18CC"/>
    <w:rsid w:val="004A3A93"/>
    <w:rsid w:val="004B4DF2"/>
    <w:rsid w:val="004C1615"/>
    <w:rsid w:val="004C34B9"/>
    <w:rsid w:val="004C38F5"/>
    <w:rsid w:val="004C391F"/>
    <w:rsid w:val="004D447A"/>
    <w:rsid w:val="004E0707"/>
    <w:rsid w:val="004E4F9E"/>
    <w:rsid w:val="004E568F"/>
    <w:rsid w:val="004F0CDD"/>
    <w:rsid w:val="004F20C3"/>
    <w:rsid w:val="004F2544"/>
    <w:rsid w:val="00510B6A"/>
    <w:rsid w:val="00513989"/>
    <w:rsid w:val="00516DBB"/>
    <w:rsid w:val="00522544"/>
    <w:rsid w:val="00525B65"/>
    <w:rsid w:val="00527AB2"/>
    <w:rsid w:val="00530356"/>
    <w:rsid w:val="00535BFB"/>
    <w:rsid w:val="00540C89"/>
    <w:rsid w:val="00541572"/>
    <w:rsid w:val="00544E88"/>
    <w:rsid w:val="00546A15"/>
    <w:rsid w:val="00546A4B"/>
    <w:rsid w:val="00547E54"/>
    <w:rsid w:val="005520E2"/>
    <w:rsid w:val="00553A3E"/>
    <w:rsid w:val="005578C7"/>
    <w:rsid w:val="00557C11"/>
    <w:rsid w:val="00560350"/>
    <w:rsid w:val="005606D3"/>
    <w:rsid w:val="00561668"/>
    <w:rsid w:val="00562056"/>
    <w:rsid w:val="00571289"/>
    <w:rsid w:val="00572CB0"/>
    <w:rsid w:val="00573511"/>
    <w:rsid w:val="00573590"/>
    <w:rsid w:val="00577C44"/>
    <w:rsid w:val="0058057B"/>
    <w:rsid w:val="00593652"/>
    <w:rsid w:val="005964CD"/>
    <w:rsid w:val="00596B3F"/>
    <w:rsid w:val="005A3420"/>
    <w:rsid w:val="005A79EC"/>
    <w:rsid w:val="005B0BE2"/>
    <w:rsid w:val="005B64BB"/>
    <w:rsid w:val="005C0B54"/>
    <w:rsid w:val="005C1951"/>
    <w:rsid w:val="005C1BFD"/>
    <w:rsid w:val="005C36B2"/>
    <w:rsid w:val="005C427C"/>
    <w:rsid w:val="005C4472"/>
    <w:rsid w:val="005C51A2"/>
    <w:rsid w:val="005C766E"/>
    <w:rsid w:val="005C7AB3"/>
    <w:rsid w:val="005D6603"/>
    <w:rsid w:val="005E0B25"/>
    <w:rsid w:val="005E24FB"/>
    <w:rsid w:val="005E5BE3"/>
    <w:rsid w:val="005E688D"/>
    <w:rsid w:val="005F2612"/>
    <w:rsid w:val="005F6260"/>
    <w:rsid w:val="005F6F60"/>
    <w:rsid w:val="00600A39"/>
    <w:rsid w:val="006010A2"/>
    <w:rsid w:val="00610034"/>
    <w:rsid w:val="00616506"/>
    <w:rsid w:val="006169C9"/>
    <w:rsid w:val="006171D1"/>
    <w:rsid w:val="006211C1"/>
    <w:rsid w:val="00621644"/>
    <w:rsid w:val="006256C9"/>
    <w:rsid w:val="00637E6B"/>
    <w:rsid w:val="006453C4"/>
    <w:rsid w:val="00653378"/>
    <w:rsid w:val="00653C61"/>
    <w:rsid w:val="00662A58"/>
    <w:rsid w:val="00666FBF"/>
    <w:rsid w:val="006706AF"/>
    <w:rsid w:val="00675A08"/>
    <w:rsid w:val="00677AE3"/>
    <w:rsid w:val="00677DC2"/>
    <w:rsid w:val="0068459A"/>
    <w:rsid w:val="00690233"/>
    <w:rsid w:val="006A0979"/>
    <w:rsid w:val="006A12F3"/>
    <w:rsid w:val="006A4821"/>
    <w:rsid w:val="006A62F9"/>
    <w:rsid w:val="006A66DE"/>
    <w:rsid w:val="006B2412"/>
    <w:rsid w:val="006B3FF4"/>
    <w:rsid w:val="006C3649"/>
    <w:rsid w:val="006C3E1D"/>
    <w:rsid w:val="006C414A"/>
    <w:rsid w:val="006C4CF4"/>
    <w:rsid w:val="006C750D"/>
    <w:rsid w:val="006D01FF"/>
    <w:rsid w:val="006D1FE0"/>
    <w:rsid w:val="006D33F9"/>
    <w:rsid w:val="006D5EB2"/>
    <w:rsid w:val="006E26F3"/>
    <w:rsid w:val="006E352D"/>
    <w:rsid w:val="006E3EBB"/>
    <w:rsid w:val="006E6090"/>
    <w:rsid w:val="006E6095"/>
    <w:rsid w:val="006E7A10"/>
    <w:rsid w:val="006F57DA"/>
    <w:rsid w:val="006F6D33"/>
    <w:rsid w:val="006F7443"/>
    <w:rsid w:val="007002DB"/>
    <w:rsid w:val="007042DE"/>
    <w:rsid w:val="00704490"/>
    <w:rsid w:val="00705FEF"/>
    <w:rsid w:val="00706DC0"/>
    <w:rsid w:val="007101D6"/>
    <w:rsid w:val="007147D7"/>
    <w:rsid w:val="00717642"/>
    <w:rsid w:val="007176E7"/>
    <w:rsid w:val="00720544"/>
    <w:rsid w:val="007219FB"/>
    <w:rsid w:val="00726A38"/>
    <w:rsid w:val="00730C1D"/>
    <w:rsid w:val="00730DD8"/>
    <w:rsid w:val="0073288E"/>
    <w:rsid w:val="00732BE6"/>
    <w:rsid w:val="007374BC"/>
    <w:rsid w:val="00742DE8"/>
    <w:rsid w:val="00743B44"/>
    <w:rsid w:val="007441A6"/>
    <w:rsid w:val="00744709"/>
    <w:rsid w:val="00744A7C"/>
    <w:rsid w:val="00744D5C"/>
    <w:rsid w:val="00745548"/>
    <w:rsid w:val="00745A8C"/>
    <w:rsid w:val="00745C63"/>
    <w:rsid w:val="0075427B"/>
    <w:rsid w:val="0075666C"/>
    <w:rsid w:val="00760094"/>
    <w:rsid w:val="00760F3F"/>
    <w:rsid w:val="00763834"/>
    <w:rsid w:val="00764834"/>
    <w:rsid w:val="00764A81"/>
    <w:rsid w:val="00765A32"/>
    <w:rsid w:val="00765EF0"/>
    <w:rsid w:val="00766AA8"/>
    <w:rsid w:val="00767E5E"/>
    <w:rsid w:val="007703E9"/>
    <w:rsid w:val="00775ED0"/>
    <w:rsid w:val="00776E0B"/>
    <w:rsid w:val="0077702C"/>
    <w:rsid w:val="0078183E"/>
    <w:rsid w:val="007840BB"/>
    <w:rsid w:val="00792BC9"/>
    <w:rsid w:val="00792D2D"/>
    <w:rsid w:val="00796E5C"/>
    <w:rsid w:val="007972E2"/>
    <w:rsid w:val="00797D79"/>
    <w:rsid w:val="007A0CC9"/>
    <w:rsid w:val="007A0FE6"/>
    <w:rsid w:val="007A2725"/>
    <w:rsid w:val="007A3601"/>
    <w:rsid w:val="007A4387"/>
    <w:rsid w:val="007A49B4"/>
    <w:rsid w:val="007A4FC5"/>
    <w:rsid w:val="007A4FCC"/>
    <w:rsid w:val="007A5100"/>
    <w:rsid w:val="007A5AEC"/>
    <w:rsid w:val="007B1574"/>
    <w:rsid w:val="007D237A"/>
    <w:rsid w:val="007D3396"/>
    <w:rsid w:val="007D4148"/>
    <w:rsid w:val="007D61B2"/>
    <w:rsid w:val="007D73C4"/>
    <w:rsid w:val="007E112A"/>
    <w:rsid w:val="007E17C5"/>
    <w:rsid w:val="007F0A56"/>
    <w:rsid w:val="007F2010"/>
    <w:rsid w:val="007F36E0"/>
    <w:rsid w:val="007F3A80"/>
    <w:rsid w:val="007F62B2"/>
    <w:rsid w:val="007F6BE0"/>
    <w:rsid w:val="00801D99"/>
    <w:rsid w:val="008042BE"/>
    <w:rsid w:val="00812F64"/>
    <w:rsid w:val="00814DDC"/>
    <w:rsid w:val="00815A1E"/>
    <w:rsid w:val="00820419"/>
    <w:rsid w:val="00820E79"/>
    <w:rsid w:val="0082414F"/>
    <w:rsid w:val="00824152"/>
    <w:rsid w:val="008268E0"/>
    <w:rsid w:val="00826AF3"/>
    <w:rsid w:val="00831294"/>
    <w:rsid w:val="00832551"/>
    <w:rsid w:val="0084060F"/>
    <w:rsid w:val="00846A26"/>
    <w:rsid w:val="00847853"/>
    <w:rsid w:val="008525CD"/>
    <w:rsid w:val="008535E2"/>
    <w:rsid w:val="008627B4"/>
    <w:rsid w:val="008647C4"/>
    <w:rsid w:val="00873C87"/>
    <w:rsid w:val="00877976"/>
    <w:rsid w:val="00883A39"/>
    <w:rsid w:val="008856C4"/>
    <w:rsid w:val="0088699F"/>
    <w:rsid w:val="008870CF"/>
    <w:rsid w:val="00896637"/>
    <w:rsid w:val="008A0D57"/>
    <w:rsid w:val="008A4390"/>
    <w:rsid w:val="008A5F57"/>
    <w:rsid w:val="008B2EBA"/>
    <w:rsid w:val="008B620D"/>
    <w:rsid w:val="008C4378"/>
    <w:rsid w:val="008C77E6"/>
    <w:rsid w:val="008D3EC2"/>
    <w:rsid w:val="008D419A"/>
    <w:rsid w:val="008D5BA9"/>
    <w:rsid w:val="008D68DC"/>
    <w:rsid w:val="008D75D9"/>
    <w:rsid w:val="008D7A50"/>
    <w:rsid w:val="008E37AA"/>
    <w:rsid w:val="008E48FB"/>
    <w:rsid w:val="008E6C61"/>
    <w:rsid w:val="008E6F66"/>
    <w:rsid w:val="008F1370"/>
    <w:rsid w:val="008F412D"/>
    <w:rsid w:val="008F46AD"/>
    <w:rsid w:val="008F61C3"/>
    <w:rsid w:val="009030C7"/>
    <w:rsid w:val="00904245"/>
    <w:rsid w:val="00917771"/>
    <w:rsid w:val="00922C68"/>
    <w:rsid w:val="009247CA"/>
    <w:rsid w:val="009254F0"/>
    <w:rsid w:val="00926BDB"/>
    <w:rsid w:val="00927C40"/>
    <w:rsid w:val="00934657"/>
    <w:rsid w:val="00936F9D"/>
    <w:rsid w:val="00941357"/>
    <w:rsid w:val="0094494B"/>
    <w:rsid w:val="00946B59"/>
    <w:rsid w:val="00946D48"/>
    <w:rsid w:val="00954882"/>
    <w:rsid w:val="0096238E"/>
    <w:rsid w:val="00965B89"/>
    <w:rsid w:val="00967C94"/>
    <w:rsid w:val="00967F79"/>
    <w:rsid w:val="009753AE"/>
    <w:rsid w:val="009851A6"/>
    <w:rsid w:val="009920C2"/>
    <w:rsid w:val="00993E5C"/>
    <w:rsid w:val="00995E71"/>
    <w:rsid w:val="009A0223"/>
    <w:rsid w:val="009A0271"/>
    <w:rsid w:val="009A117D"/>
    <w:rsid w:val="009A1DB6"/>
    <w:rsid w:val="009A5CA4"/>
    <w:rsid w:val="009B2106"/>
    <w:rsid w:val="009B4C83"/>
    <w:rsid w:val="009B532C"/>
    <w:rsid w:val="009B765D"/>
    <w:rsid w:val="009B7F4E"/>
    <w:rsid w:val="009C148C"/>
    <w:rsid w:val="009C1FFB"/>
    <w:rsid w:val="009C419D"/>
    <w:rsid w:val="009C60E0"/>
    <w:rsid w:val="009D2570"/>
    <w:rsid w:val="009D2821"/>
    <w:rsid w:val="009D3403"/>
    <w:rsid w:val="009E0F27"/>
    <w:rsid w:val="009E1179"/>
    <w:rsid w:val="009F0FCF"/>
    <w:rsid w:val="009F291B"/>
    <w:rsid w:val="009F3E52"/>
    <w:rsid w:val="009F4F3D"/>
    <w:rsid w:val="009F60B3"/>
    <w:rsid w:val="009F6734"/>
    <w:rsid w:val="00A00FF5"/>
    <w:rsid w:val="00A01651"/>
    <w:rsid w:val="00A02897"/>
    <w:rsid w:val="00A0570B"/>
    <w:rsid w:val="00A077BA"/>
    <w:rsid w:val="00A1246C"/>
    <w:rsid w:val="00A16AD9"/>
    <w:rsid w:val="00A21829"/>
    <w:rsid w:val="00A22FA0"/>
    <w:rsid w:val="00A24EA3"/>
    <w:rsid w:val="00A318BC"/>
    <w:rsid w:val="00A32552"/>
    <w:rsid w:val="00A34AA6"/>
    <w:rsid w:val="00A35EB4"/>
    <w:rsid w:val="00A36BC0"/>
    <w:rsid w:val="00A36D95"/>
    <w:rsid w:val="00A45B74"/>
    <w:rsid w:val="00A4777E"/>
    <w:rsid w:val="00A5039F"/>
    <w:rsid w:val="00A50C0A"/>
    <w:rsid w:val="00A50EE6"/>
    <w:rsid w:val="00A53583"/>
    <w:rsid w:val="00A556F0"/>
    <w:rsid w:val="00A63A20"/>
    <w:rsid w:val="00A66E1B"/>
    <w:rsid w:val="00A6756D"/>
    <w:rsid w:val="00A67FF3"/>
    <w:rsid w:val="00A70802"/>
    <w:rsid w:val="00A7232B"/>
    <w:rsid w:val="00A75097"/>
    <w:rsid w:val="00A7591E"/>
    <w:rsid w:val="00A76B94"/>
    <w:rsid w:val="00A76F09"/>
    <w:rsid w:val="00A77752"/>
    <w:rsid w:val="00A805AF"/>
    <w:rsid w:val="00A8090E"/>
    <w:rsid w:val="00A86B41"/>
    <w:rsid w:val="00A87CDE"/>
    <w:rsid w:val="00A9061E"/>
    <w:rsid w:val="00A92BE7"/>
    <w:rsid w:val="00A932C4"/>
    <w:rsid w:val="00A94B14"/>
    <w:rsid w:val="00AA47EA"/>
    <w:rsid w:val="00AB3120"/>
    <w:rsid w:val="00AB6154"/>
    <w:rsid w:val="00AC08DE"/>
    <w:rsid w:val="00AC0E5E"/>
    <w:rsid w:val="00AC5163"/>
    <w:rsid w:val="00AC629D"/>
    <w:rsid w:val="00AD336A"/>
    <w:rsid w:val="00AD6423"/>
    <w:rsid w:val="00AD74DA"/>
    <w:rsid w:val="00AE1962"/>
    <w:rsid w:val="00AE432B"/>
    <w:rsid w:val="00AE4939"/>
    <w:rsid w:val="00AE51E3"/>
    <w:rsid w:val="00AF001E"/>
    <w:rsid w:val="00AF036D"/>
    <w:rsid w:val="00AF75A5"/>
    <w:rsid w:val="00B0182C"/>
    <w:rsid w:val="00B03240"/>
    <w:rsid w:val="00B03828"/>
    <w:rsid w:val="00B03E22"/>
    <w:rsid w:val="00B04905"/>
    <w:rsid w:val="00B04FCF"/>
    <w:rsid w:val="00B0565E"/>
    <w:rsid w:val="00B10229"/>
    <w:rsid w:val="00B12989"/>
    <w:rsid w:val="00B129DA"/>
    <w:rsid w:val="00B1376D"/>
    <w:rsid w:val="00B14B91"/>
    <w:rsid w:val="00B157BD"/>
    <w:rsid w:val="00B234D3"/>
    <w:rsid w:val="00B275BF"/>
    <w:rsid w:val="00B3593A"/>
    <w:rsid w:val="00B3644B"/>
    <w:rsid w:val="00B41782"/>
    <w:rsid w:val="00B42F68"/>
    <w:rsid w:val="00B43523"/>
    <w:rsid w:val="00B43B05"/>
    <w:rsid w:val="00B43E4D"/>
    <w:rsid w:val="00B46164"/>
    <w:rsid w:val="00B4624A"/>
    <w:rsid w:val="00B52D0B"/>
    <w:rsid w:val="00B562B7"/>
    <w:rsid w:val="00B64510"/>
    <w:rsid w:val="00B6472A"/>
    <w:rsid w:val="00B66B99"/>
    <w:rsid w:val="00B730B1"/>
    <w:rsid w:val="00B73214"/>
    <w:rsid w:val="00B77853"/>
    <w:rsid w:val="00B778A8"/>
    <w:rsid w:val="00B8623C"/>
    <w:rsid w:val="00B90220"/>
    <w:rsid w:val="00B95AA9"/>
    <w:rsid w:val="00B966E3"/>
    <w:rsid w:val="00BA15EC"/>
    <w:rsid w:val="00BA1E26"/>
    <w:rsid w:val="00BA31BB"/>
    <w:rsid w:val="00BA3922"/>
    <w:rsid w:val="00BA40D4"/>
    <w:rsid w:val="00BA5EE5"/>
    <w:rsid w:val="00BA79F6"/>
    <w:rsid w:val="00BB3B3B"/>
    <w:rsid w:val="00BB5512"/>
    <w:rsid w:val="00BB7898"/>
    <w:rsid w:val="00BC1C35"/>
    <w:rsid w:val="00BC2DD4"/>
    <w:rsid w:val="00BC4A47"/>
    <w:rsid w:val="00BC5646"/>
    <w:rsid w:val="00BC6D95"/>
    <w:rsid w:val="00BD2CED"/>
    <w:rsid w:val="00BD4738"/>
    <w:rsid w:val="00BD5E79"/>
    <w:rsid w:val="00BD61BE"/>
    <w:rsid w:val="00BE241F"/>
    <w:rsid w:val="00BE27C2"/>
    <w:rsid w:val="00BE6C4D"/>
    <w:rsid w:val="00BF128D"/>
    <w:rsid w:val="00BF129C"/>
    <w:rsid w:val="00BF32AA"/>
    <w:rsid w:val="00BF392A"/>
    <w:rsid w:val="00BF4DDC"/>
    <w:rsid w:val="00BF556C"/>
    <w:rsid w:val="00BF5846"/>
    <w:rsid w:val="00BF5B29"/>
    <w:rsid w:val="00BF76E9"/>
    <w:rsid w:val="00C05496"/>
    <w:rsid w:val="00C111E8"/>
    <w:rsid w:val="00C12D08"/>
    <w:rsid w:val="00C14659"/>
    <w:rsid w:val="00C21684"/>
    <w:rsid w:val="00C24E0C"/>
    <w:rsid w:val="00C25384"/>
    <w:rsid w:val="00C306A9"/>
    <w:rsid w:val="00C428A6"/>
    <w:rsid w:val="00C448AF"/>
    <w:rsid w:val="00C469DC"/>
    <w:rsid w:val="00C5015F"/>
    <w:rsid w:val="00C53681"/>
    <w:rsid w:val="00C541C5"/>
    <w:rsid w:val="00C60542"/>
    <w:rsid w:val="00C67010"/>
    <w:rsid w:val="00C67C38"/>
    <w:rsid w:val="00C7062A"/>
    <w:rsid w:val="00C724B6"/>
    <w:rsid w:val="00C830D9"/>
    <w:rsid w:val="00C8456E"/>
    <w:rsid w:val="00C87A77"/>
    <w:rsid w:val="00C91855"/>
    <w:rsid w:val="00C92A5C"/>
    <w:rsid w:val="00C95A0A"/>
    <w:rsid w:val="00C96758"/>
    <w:rsid w:val="00CA0525"/>
    <w:rsid w:val="00CA280B"/>
    <w:rsid w:val="00CA4AB9"/>
    <w:rsid w:val="00CA4F9B"/>
    <w:rsid w:val="00CA638E"/>
    <w:rsid w:val="00CA692F"/>
    <w:rsid w:val="00CB031A"/>
    <w:rsid w:val="00CC0E56"/>
    <w:rsid w:val="00CC1D0D"/>
    <w:rsid w:val="00CC3909"/>
    <w:rsid w:val="00CC3ED0"/>
    <w:rsid w:val="00CC4C0A"/>
    <w:rsid w:val="00CC65B7"/>
    <w:rsid w:val="00CC7C7D"/>
    <w:rsid w:val="00CD2DAD"/>
    <w:rsid w:val="00CD429C"/>
    <w:rsid w:val="00CD4A88"/>
    <w:rsid w:val="00CE3FFA"/>
    <w:rsid w:val="00CE7595"/>
    <w:rsid w:val="00CF0AAE"/>
    <w:rsid w:val="00CF4B59"/>
    <w:rsid w:val="00CF6CD3"/>
    <w:rsid w:val="00D04C77"/>
    <w:rsid w:val="00D070B4"/>
    <w:rsid w:val="00D147E4"/>
    <w:rsid w:val="00D17A0B"/>
    <w:rsid w:val="00D17B64"/>
    <w:rsid w:val="00D202EA"/>
    <w:rsid w:val="00D2032C"/>
    <w:rsid w:val="00D21083"/>
    <w:rsid w:val="00D25214"/>
    <w:rsid w:val="00D257EA"/>
    <w:rsid w:val="00D25E4E"/>
    <w:rsid w:val="00D42083"/>
    <w:rsid w:val="00D440A0"/>
    <w:rsid w:val="00D4561D"/>
    <w:rsid w:val="00D471E6"/>
    <w:rsid w:val="00D510D0"/>
    <w:rsid w:val="00D567D4"/>
    <w:rsid w:val="00D5723C"/>
    <w:rsid w:val="00D57932"/>
    <w:rsid w:val="00D66CE7"/>
    <w:rsid w:val="00D701D0"/>
    <w:rsid w:val="00D70D97"/>
    <w:rsid w:val="00D7150E"/>
    <w:rsid w:val="00D71916"/>
    <w:rsid w:val="00D72683"/>
    <w:rsid w:val="00D72D01"/>
    <w:rsid w:val="00D73FAC"/>
    <w:rsid w:val="00D76A92"/>
    <w:rsid w:val="00D81165"/>
    <w:rsid w:val="00D8206B"/>
    <w:rsid w:val="00D8562A"/>
    <w:rsid w:val="00D8616C"/>
    <w:rsid w:val="00D87107"/>
    <w:rsid w:val="00D87542"/>
    <w:rsid w:val="00D97C34"/>
    <w:rsid w:val="00DA187D"/>
    <w:rsid w:val="00DA2658"/>
    <w:rsid w:val="00DA6D27"/>
    <w:rsid w:val="00DB506A"/>
    <w:rsid w:val="00DC03C0"/>
    <w:rsid w:val="00DC161E"/>
    <w:rsid w:val="00DC2DA8"/>
    <w:rsid w:val="00DC3E7D"/>
    <w:rsid w:val="00DC60E4"/>
    <w:rsid w:val="00DC68E8"/>
    <w:rsid w:val="00DC766C"/>
    <w:rsid w:val="00DD1AA7"/>
    <w:rsid w:val="00DD326B"/>
    <w:rsid w:val="00DD7489"/>
    <w:rsid w:val="00DE0630"/>
    <w:rsid w:val="00DE0859"/>
    <w:rsid w:val="00DE4D40"/>
    <w:rsid w:val="00DE6E27"/>
    <w:rsid w:val="00DF4E2D"/>
    <w:rsid w:val="00DF5324"/>
    <w:rsid w:val="00DF56AA"/>
    <w:rsid w:val="00E04B64"/>
    <w:rsid w:val="00E05A3B"/>
    <w:rsid w:val="00E06F6C"/>
    <w:rsid w:val="00E07D01"/>
    <w:rsid w:val="00E2180B"/>
    <w:rsid w:val="00E2246E"/>
    <w:rsid w:val="00E27079"/>
    <w:rsid w:val="00E2745F"/>
    <w:rsid w:val="00E3129E"/>
    <w:rsid w:val="00E4003F"/>
    <w:rsid w:val="00E43404"/>
    <w:rsid w:val="00E443B8"/>
    <w:rsid w:val="00E4488D"/>
    <w:rsid w:val="00E478B3"/>
    <w:rsid w:val="00E500A5"/>
    <w:rsid w:val="00E507B7"/>
    <w:rsid w:val="00E51A15"/>
    <w:rsid w:val="00E52E35"/>
    <w:rsid w:val="00E54967"/>
    <w:rsid w:val="00E57C75"/>
    <w:rsid w:val="00E6217C"/>
    <w:rsid w:val="00E65397"/>
    <w:rsid w:val="00E654F1"/>
    <w:rsid w:val="00E65BF4"/>
    <w:rsid w:val="00E6683B"/>
    <w:rsid w:val="00E673B1"/>
    <w:rsid w:val="00E722A6"/>
    <w:rsid w:val="00E84469"/>
    <w:rsid w:val="00E84600"/>
    <w:rsid w:val="00E857CB"/>
    <w:rsid w:val="00E865C7"/>
    <w:rsid w:val="00E86884"/>
    <w:rsid w:val="00E93B13"/>
    <w:rsid w:val="00E93E9D"/>
    <w:rsid w:val="00E97049"/>
    <w:rsid w:val="00EA07C8"/>
    <w:rsid w:val="00EA11B0"/>
    <w:rsid w:val="00EA1243"/>
    <w:rsid w:val="00EA727F"/>
    <w:rsid w:val="00EB022A"/>
    <w:rsid w:val="00EB08E6"/>
    <w:rsid w:val="00EB0B0A"/>
    <w:rsid w:val="00EB13E6"/>
    <w:rsid w:val="00EB2DD2"/>
    <w:rsid w:val="00EB3CA6"/>
    <w:rsid w:val="00EB4D43"/>
    <w:rsid w:val="00EB50D6"/>
    <w:rsid w:val="00EB5974"/>
    <w:rsid w:val="00EB64DC"/>
    <w:rsid w:val="00EB6BF0"/>
    <w:rsid w:val="00EC04E5"/>
    <w:rsid w:val="00EC1B4D"/>
    <w:rsid w:val="00EC4AF9"/>
    <w:rsid w:val="00EC5BCA"/>
    <w:rsid w:val="00ED0BF5"/>
    <w:rsid w:val="00EE1E9A"/>
    <w:rsid w:val="00EE6C2B"/>
    <w:rsid w:val="00EF5FE5"/>
    <w:rsid w:val="00EF68CA"/>
    <w:rsid w:val="00F017D7"/>
    <w:rsid w:val="00F01E8F"/>
    <w:rsid w:val="00F02645"/>
    <w:rsid w:val="00F04BB9"/>
    <w:rsid w:val="00F11802"/>
    <w:rsid w:val="00F1232D"/>
    <w:rsid w:val="00F16845"/>
    <w:rsid w:val="00F172C2"/>
    <w:rsid w:val="00F176FB"/>
    <w:rsid w:val="00F23FFA"/>
    <w:rsid w:val="00F25811"/>
    <w:rsid w:val="00F34CEA"/>
    <w:rsid w:val="00F34DB3"/>
    <w:rsid w:val="00F5162B"/>
    <w:rsid w:val="00F5335F"/>
    <w:rsid w:val="00F54663"/>
    <w:rsid w:val="00F601E6"/>
    <w:rsid w:val="00F60818"/>
    <w:rsid w:val="00F6099D"/>
    <w:rsid w:val="00F61979"/>
    <w:rsid w:val="00F632A6"/>
    <w:rsid w:val="00F6743F"/>
    <w:rsid w:val="00F87747"/>
    <w:rsid w:val="00F906B9"/>
    <w:rsid w:val="00F926FF"/>
    <w:rsid w:val="00F93C85"/>
    <w:rsid w:val="00F96BD2"/>
    <w:rsid w:val="00FA25BA"/>
    <w:rsid w:val="00FA29D0"/>
    <w:rsid w:val="00FA41FF"/>
    <w:rsid w:val="00FA70E9"/>
    <w:rsid w:val="00FA752A"/>
    <w:rsid w:val="00FB05A8"/>
    <w:rsid w:val="00FB4CAE"/>
    <w:rsid w:val="00FC2AAD"/>
    <w:rsid w:val="00FC613F"/>
    <w:rsid w:val="00FD1E00"/>
    <w:rsid w:val="00FD259B"/>
    <w:rsid w:val="00FD265E"/>
    <w:rsid w:val="00FD4033"/>
    <w:rsid w:val="00FD53B6"/>
    <w:rsid w:val="00FE0EE7"/>
    <w:rsid w:val="00FE1770"/>
    <w:rsid w:val="00FE377F"/>
    <w:rsid w:val="00FE4312"/>
    <w:rsid w:val="00FF0B76"/>
    <w:rsid w:val="00FF1E5D"/>
    <w:rsid w:val="00FF2F2B"/>
    <w:rsid w:val="00FF332C"/>
    <w:rsid w:val="00FF4EFE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7A7059"/>
  <w15:chartTrackingRefBased/>
  <w15:docId w15:val="{0A96ED66-0D04-4F36-A447-5AF2CCA8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260"/>
    <w:rPr>
      <w:rFonts w:ascii="Arial" w:eastAsia="Times New Roman" w:hAnsi="Arial"/>
      <w:sz w:val="22"/>
      <w:szCs w:val="24"/>
    </w:rPr>
  </w:style>
  <w:style w:type="paragraph" w:styleId="Nagwek1">
    <w:name w:val="heading 1"/>
    <w:basedOn w:val="Normalny"/>
    <w:link w:val="Nagwek1Znak"/>
    <w:uiPriority w:val="9"/>
    <w:qFormat/>
    <w:rsid w:val="000301D3"/>
    <w:pPr>
      <w:spacing w:before="115" w:after="115"/>
      <w:outlineLvl w:val="0"/>
    </w:pPr>
    <w:rPr>
      <w:b/>
      <w:bCs/>
      <w:spacing w:val="-12"/>
      <w:kern w:val="36"/>
      <w:sz w:val="43"/>
      <w:szCs w:val="4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10557"/>
    <w:pPr>
      <w:tabs>
        <w:tab w:val="center" w:pos="4536"/>
        <w:tab w:val="right" w:pos="9072"/>
      </w:tabs>
    </w:pPr>
    <w:rPr>
      <w:rFonts w:ascii="Times New Roman" w:hAnsi="Times New Roman"/>
      <w:sz w:val="28"/>
      <w:lang w:val="x-none"/>
    </w:rPr>
  </w:style>
  <w:style w:type="character" w:customStyle="1" w:styleId="StopkaZnak">
    <w:name w:val="Stopka Znak"/>
    <w:link w:val="Stopka"/>
    <w:rsid w:val="0021055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umerstrony">
    <w:name w:val="page number"/>
    <w:basedOn w:val="Domylnaczcionkaakapitu"/>
    <w:rsid w:val="00210557"/>
  </w:style>
  <w:style w:type="paragraph" w:styleId="Nagwek">
    <w:name w:val="header"/>
    <w:basedOn w:val="Normalny"/>
    <w:link w:val="NagwekZnak"/>
    <w:uiPriority w:val="99"/>
    <w:unhideWhenUsed/>
    <w:rsid w:val="00210557"/>
    <w:pPr>
      <w:tabs>
        <w:tab w:val="center" w:pos="4536"/>
        <w:tab w:val="right" w:pos="9072"/>
      </w:tabs>
    </w:pPr>
    <w:rPr>
      <w:rFonts w:ascii="Times New Roman" w:hAnsi="Times New Roman"/>
      <w:sz w:val="28"/>
      <w:lang w:val="x-none"/>
    </w:rPr>
  </w:style>
  <w:style w:type="character" w:customStyle="1" w:styleId="NagwekZnak">
    <w:name w:val="Nagłówek Znak"/>
    <w:link w:val="Nagwek"/>
    <w:uiPriority w:val="99"/>
    <w:rsid w:val="0021055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21055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10557"/>
    <w:pPr>
      <w:ind w:left="720"/>
      <w:contextualSpacing/>
    </w:pPr>
    <w:rPr>
      <w:sz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55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10557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0E3D9A"/>
    <w:rPr>
      <w:rFonts w:ascii="Times New Roman" w:eastAsia="Times New Roman" w:hAnsi="Times New Roman"/>
      <w:sz w:val="28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88D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4488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4488D"/>
    <w:rPr>
      <w:vertAlign w:val="superscript"/>
    </w:rPr>
  </w:style>
  <w:style w:type="character" w:customStyle="1" w:styleId="Nagwek1Znak">
    <w:name w:val="Nagłówek 1 Znak"/>
    <w:link w:val="Nagwek1"/>
    <w:uiPriority w:val="9"/>
    <w:rsid w:val="000301D3"/>
    <w:rPr>
      <w:rFonts w:ascii="Arial" w:eastAsia="Times New Roman" w:hAnsi="Arial" w:cs="Arial"/>
      <w:b/>
      <w:bCs/>
      <w:spacing w:val="-12"/>
      <w:kern w:val="36"/>
      <w:sz w:val="43"/>
      <w:szCs w:val="43"/>
      <w:lang w:eastAsia="pl-PL"/>
    </w:rPr>
  </w:style>
  <w:style w:type="character" w:styleId="Odwoaniedokomentarza">
    <w:name w:val="annotation reference"/>
    <w:uiPriority w:val="99"/>
    <w:semiHidden/>
    <w:unhideWhenUsed/>
    <w:rsid w:val="00AA47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7E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A47EA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7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A47EA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745E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2745E0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745E0"/>
    <w:rPr>
      <w:vertAlign w:val="superscript"/>
    </w:rPr>
  </w:style>
  <w:style w:type="character" w:styleId="Pogrubienie">
    <w:name w:val="Strong"/>
    <w:uiPriority w:val="22"/>
    <w:qFormat/>
    <w:rsid w:val="0075427B"/>
    <w:rPr>
      <w:b/>
      <w:bCs/>
    </w:rPr>
  </w:style>
  <w:style w:type="character" w:customStyle="1" w:styleId="article8267">
    <w:name w:val="article_8267"/>
    <w:basedOn w:val="Domylnaczcionkaakapitu"/>
    <w:rsid w:val="00EA07C8"/>
  </w:style>
  <w:style w:type="character" w:styleId="Hipercze">
    <w:name w:val="Hyperlink"/>
    <w:uiPriority w:val="99"/>
    <w:unhideWhenUsed/>
    <w:rsid w:val="00EC4AF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52634"/>
    <w:rPr>
      <w:rFonts w:ascii="Arial" w:eastAsia="Times New Roman" w:hAnsi="Arial" w:cs="Times New Roman"/>
      <w:szCs w:val="24"/>
      <w:lang w:eastAsia="pl-PL"/>
    </w:rPr>
  </w:style>
  <w:style w:type="character" w:customStyle="1" w:styleId="plainlinks">
    <w:name w:val="plainlinks"/>
    <w:basedOn w:val="Domylnaczcionkaakapitu"/>
    <w:rsid w:val="00C830D9"/>
  </w:style>
  <w:style w:type="character" w:customStyle="1" w:styleId="h2">
    <w:name w:val="h2"/>
    <w:basedOn w:val="Domylnaczcionkaakapitu"/>
    <w:rsid w:val="00A94B14"/>
  </w:style>
  <w:style w:type="table" w:styleId="Tabela-Siatka">
    <w:name w:val="Table Grid"/>
    <w:basedOn w:val="Standardowy"/>
    <w:uiPriority w:val="59"/>
    <w:rsid w:val="0027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E112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szCs w:val="24"/>
      <w:lang w:eastAsia="zh-CN"/>
    </w:rPr>
  </w:style>
  <w:style w:type="table" w:styleId="Siatkatabelijasna">
    <w:name w:val="Grid Table Light"/>
    <w:basedOn w:val="Standardowy"/>
    <w:uiPriority w:val="40"/>
    <w:rsid w:val="00D715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3401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3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7E043-EEC5-4291-B854-831C7C54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1436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Lista wskaźników na poziomie projektu dla działania 5.1 Infrastruktura drogowa – projekty z zakresu dróg wojewódzkich</dc:subject>
  <dc:creator>A.Zagorowska@podkarpackie.pl</dc:creator>
  <cp:keywords/>
  <cp:lastModifiedBy>Zagórowska Anna</cp:lastModifiedBy>
  <cp:revision>9</cp:revision>
  <cp:lastPrinted>2022-03-04T10:46:00Z</cp:lastPrinted>
  <dcterms:created xsi:type="dcterms:W3CDTF">2022-03-04T07:29:00Z</dcterms:created>
  <dcterms:modified xsi:type="dcterms:W3CDTF">2022-04-28T10:45:00Z</dcterms:modified>
</cp:coreProperties>
</file>