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iCs/>
          <w:caps/>
          <w:color w:val="000000" w:themeColor="text1"/>
          <w:spacing w:val="20"/>
          <w:szCs w:val="24"/>
        </w:rPr>
        <w:id w:val="-1361426653"/>
        <w:docPartObj>
          <w:docPartGallery w:val="Cover Pages"/>
          <w:docPartUnique/>
        </w:docPartObj>
      </w:sdtPr>
      <w:sdtEndPr>
        <w:rPr>
          <w:rFonts w:ascii="Calibri Light" w:eastAsiaTheme="minorHAnsi" w:hAnsi="Calibri Light" w:cstheme="minorBidi"/>
          <w:iCs w:val="0"/>
          <w:caps w:val="0"/>
          <w:color w:val="auto"/>
          <w:spacing w:val="0"/>
          <w:szCs w:val="22"/>
        </w:rPr>
      </w:sdtEndPr>
      <w:sdtContent>
        <w:p w14:paraId="4BFD9E21" w14:textId="781945B0" w:rsidR="00EA52F4" w:rsidRDefault="00EA52F4" w:rsidP="006E4CC9">
          <w:pPr>
            <w:jc w:val="left"/>
            <w:rPr>
              <w:rFonts w:asciiTheme="majorHAnsi" w:eastAsiaTheme="majorEastAsia" w:hAnsiTheme="majorHAnsi" w:cstheme="majorBidi"/>
              <w:iCs/>
              <w:caps/>
              <w:color w:val="000000" w:themeColor="text1"/>
              <w:spacing w:val="20"/>
              <w:szCs w:val="24"/>
            </w:rPr>
          </w:pPr>
        </w:p>
        <w:p w14:paraId="009374BC" w14:textId="77777777" w:rsidR="006E4CC9" w:rsidRDefault="006E4CC9" w:rsidP="006E4CC9">
          <w:pPr>
            <w:jc w:val="left"/>
            <w:rPr>
              <w:rFonts w:asciiTheme="majorHAnsi" w:eastAsiaTheme="majorEastAsia" w:hAnsiTheme="majorHAnsi" w:cstheme="majorBidi"/>
              <w:iCs/>
              <w:caps/>
              <w:color w:val="000000" w:themeColor="text1"/>
              <w:spacing w:val="20"/>
              <w:szCs w:val="24"/>
            </w:rPr>
          </w:pPr>
        </w:p>
        <w:p w14:paraId="6066BF83" w14:textId="77777777" w:rsidR="00EA52F4" w:rsidRDefault="00EA52F4" w:rsidP="006E4CC9">
          <w:pPr>
            <w:jc w:val="left"/>
            <w:rPr>
              <w:rFonts w:asciiTheme="majorHAnsi" w:eastAsiaTheme="majorEastAsia" w:hAnsiTheme="majorHAnsi" w:cstheme="majorBidi"/>
              <w:iCs/>
              <w:caps/>
              <w:color w:val="000000" w:themeColor="text1"/>
              <w:spacing w:val="20"/>
              <w:szCs w:val="24"/>
            </w:rPr>
          </w:pPr>
        </w:p>
        <w:sdt>
          <w:sdtPr>
            <w:rPr>
              <w:rFonts w:asciiTheme="majorHAnsi" w:eastAsiaTheme="majorEastAsia" w:hAnsiTheme="majorHAnsi" w:cstheme="majorBidi"/>
              <w:iCs/>
              <w:caps/>
              <w:color w:val="000000" w:themeColor="text1"/>
              <w:spacing w:val="20"/>
              <w:szCs w:val="24"/>
            </w:rPr>
            <w:id w:val="2129352077"/>
            <w:docPartObj>
              <w:docPartGallery w:val="Cover Pages"/>
              <w:docPartUnique/>
            </w:docPartObj>
          </w:sdtPr>
          <w:sdtEndPr>
            <w:rPr>
              <w:rFonts w:ascii="Calibri Light" w:eastAsiaTheme="minorHAnsi" w:hAnsi="Calibri Light" w:cstheme="minorBidi"/>
              <w:iCs w:val="0"/>
              <w:caps w:val="0"/>
              <w:color w:val="auto"/>
              <w:spacing w:val="0"/>
              <w:szCs w:val="22"/>
            </w:rPr>
          </w:sdtEndPr>
          <w:sdtContent>
            <w:p w14:paraId="55037A4C" w14:textId="5FBF611E" w:rsidR="00CE3280" w:rsidRPr="00542D43" w:rsidRDefault="00E32AB0" w:rsidP="006E4CC9">
              <w:pPr>
                <w:jc w:val="left"/>
              </w:pPr>
              <w:r w:rsidRPr="00542D43">
                <w:rPr>
                  <w:noProof/>
                  <w:lang w:eastAsia="pl-PL"/>
                </w:rPr>
                <w:drawing>
                  <wp:inline distT="0" distB="0" distL="0" distR="0" wp14:anchorId="31FBF6AA" wp14:editId="26BBC76F">
                    <wp:extent cx="1631200" cy="666000"/>
                    <wp:effectExtent l="0" t="0" r="7620" b="1270"/>
                    <wp:docPr id="10" name="Obraz 10" descr="Logo Wolański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Logo Wolański sp. z 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200" cy="666000"/>
                            </a:xfrm>
                            <a:prstGeom prst="rect">
                              <a:avLst/>
                            </a:prstGeom>
                            <a:noFill/>
                            <a:ln>
                              <a:noFill/>
                            </a:ln>
                          </pic:spPr>
                        </pic:pic>
                      </a:graphicData>
                    </a:graphic>
                  </wp:inline>
                </w:drawing>
              </w:r>
              <w:r w:rsidR="00F2299F" w:rsidRPr="00542D43">
                <w:tab/>
              </w:r>
            </w:p>
            <w:p w14:paraId="01778BC8" w14:textId="12A60E9A" w:rsidR="00CE3280" w:rsidRPr="00C818F0" w:rsidRDefault="008067D6" w:rsidP="006E4CC9">
              <w:pPr>
                <w:pStyle w:val="Tytu"/>
              </w:pPr>
              <w:bookmarkStart w:id="0" w:name="_Hlk115267003"/>
              <w:r>
                <w:t>O</w:t>
              </w:r>
              <w:r w:rsidRPr="008067D6">
                <w:t xml:space="preserve">cena wpływu </w:t>
              </w:r>
              <w:r>
                <w:t>RPO WP</w:t>
              </w:r>
              <w:r w:rsidRPr="008067D6">
                <w:t xml:space="preserve"> 2014-2020 na efektywność systemu transportowego regionu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606C2A" w:rsidRPr="00542D43" w14:paraId="6BEED086" w14:textId="77777777" w:rsidTr="00215BFB">
                <w:trPr>
                  <w:trHeight w:val="509"/>
                </w:trPr>
                <w:tc>
                  <w:tcPr>
                    <w:tcW w:w="6946" w:type="dxa"/>
                    <w:tcMar>
                      <w:left w:w="0" w:type="dxa"/>
                      <w:right w:w="0" w:type="dxa"/>
                    </w:tcMar>
                  </w:tcPr>
                  <w:bookmarkEnd w:id="0"/>
                  <w:p w14:paraId="623A26C9" w14:textId="63F627BC" w:rsidR="00606C2A" w:rsidRPr="00C818F0" w:rsidRDefault="00047C2C" w:rsidP="00606C2A">
                    <w:pPr>
                      <w:pStyle w:val="Podtytu"/>
                      <w:rPr>
                        <w:szCs w:val="24"/>
                      </w:rPr>
                    </w:pPr>
                    <w:r>
                      <w:rPr>
                        <w:szCs w:val="24"/>
                      </w:rPr>
                      <w:t xml:space="preserve">Załącznik </w:t>
                    </w:r>
                    <w:r w:rsidR="009965F8">
                      <w:rPr>
                        <w:szCs w:val="24"/>
                      </w:rPr>
                      <w:t>5</w:t>
                    </w:r>
                  </w:p>
                </w:tc>
              </w:tr>
              <w:tr w:rsidR="00606C2A" w:rsidRPr="00542D43" w14:paraId="1A7643B8" w14:textId="77777777" w:rsidTr="00215BFB">
                <w:tc>
                  <w:tcPr>
                    <w:tcW w:w="6946" w:type="dxa"/>
                    <w:tcMar>
                      <w:left w:w="0" w:type="dxa"/>
                      <w:right w:w="0" w:type="dxa"/>
                    </w:tcMar>
                  </w:tcPr>
                  <w:p w14:paraId="43C29260" w14:textId="7DED485F" w:rsidR="00606C2A" w:rsidRPr="00C818F0" w:rsidRDefault="00571DEE" w:rsidP="00606C2A">
                    <w:pPr>
                      <w:pStyle w:val="Podtytu"/>
                      <w:rPr>
                        <w:szCs w:val="24"/>
                      </w:rPr>
                    </w:pPr>
                    <w:r>
                      <w:t>Syntetyczne odpowiedzi na pytania badawcze</w:t>
                    </w:r>
                  </w:p>
                </w:tc>
              </w:tr>
              <w:tr w:rsidR="006E4CC9" w:rsidRPr="00542D43" w14:paraId="1AA40D11" w14:textId="77777777" w:rsidTr="00215BFB">
                <w:tc>
                  <w:tcPr>
                    <w:tcW w:w="6946" w:type="dxa"/>
                    <w:tcMar>
                      <w:left w:w="0" w:type="dxa"/>
                      <w:right w:w="0" w:type="dxa"/>
                    </w:tcMar>
                  </w:tcPr>
                  <w:p w14:paraId="096FA1EF" w14:textId="4A4A29CF" w:rsidR="006E4CC9" w:rsidRPr="00542D43" w:rsidRDefault="006E4CC9" w:rsidP="006E4CC9">
                    <w:pPr>
                      <w:jc w:val="left"/>
                    </w:pPr>
                    <w:r w:rsidRPr="00542D43">
                      <w:rPr>
                        <w:noProof/>
                        <w:lang w:eastAsia="pl-PL"/>
                      </w:rPr>
                      <w:drawing>
                        <wp:inline distT="0" distB="0" distL="0" distR="0" wp14:anchorId="0168B77B" wp14:editId="52335886">
                          <wp:extent cx="381000" cy="85725"/>
                          <wp:effectExtent l="0" t="0" r="0" b="9525"/>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11"/>
                                  <a:stretch>
                                    <a:fillRect/>
                                  </a:stretch>
                                </pic:blipFill>
                                <pic:spPr>
                                  <a:xfrm>
                                    <a:off x="0" y="0"/>
                                    <a:ext cx="381000" cy="85725"/>
                                  </a:xfrm>
                                  <a:prstGeom prst="rect">
                                    <a:avLst/>
                                  </a:prstGeom>
                                </pic:spPr>
                              </pic:pic>
                            </a:graphicData>
                          </a:graphic>
                        </wp:inline>
                      </w:drawing>
                    </w:r>
                  </w:p>
                </w:tc>
              </w:tr>
              <w:tr w:rsidR="00C114A5" w:rsidRPr="00542D43" w14:paraId="4E359D79" w14:textId="77777777" w:rsidTr="00215BFB">
                <w:tc>
                  <w:tcPr>
                    <w:tcW w:w="6946" w:type="dxa"/>
                    <w:tcMar>
                      <w:left w:w="0" w:type="dxa"/>
                      <w:right w:w="0" w:type="dxa"/>
                    </w:tcMar>
                    <w:vAlign w:val="center"/>
                  </w:tcPr>
                  <w:p w14:paraId="75836E91" w14:textId="078AE2AB" w:rsidR="003D308B" w:rsidRPr="004E6965" w:rsidRDefault="003D308B" w:rsidP="00FF59C6">
                    <w:pPr>
                      <w:spacing w:before="0"/>
                      <w:jc w:val="left"/>
                    </w:pPr>
                  </w:p>
                </w:tc>
              </w:tr>
            </w:tbl>
            <w:p w14:paraId="79E6FAE7" w14:textId="762680DA" w:rsidR="001F4F96" w:rsidRDefault="001F4F96" w:rsidP="006E4CC9">
              <w:pPr>
                <w:jc w:val="left"/>
              </w:pPr>
            </w:p>
            <w:p w14:paraId="02867E55" w14:textId="05AC8297" w:rsidR="002D7ABB" w:rsidRDefault="002D7ABB" w:rsidP="006E4CC9">
              <w:pPr>
                <w:jc w:val="left"/>
              </w:pPr>
            </w:p>
            <w:p w14:paraId="55A04437" w14:textId="34178281" w:rsidR="00606C2A" w:rsidRPr="005F4392" w:rsidRDefault="00000000" w:rsidP="00606C2A">
              <w:pPr>
                <w:jc w:val="left"/>
                <w:sectPr w:rsidR="00606C2A" w:rsidRPr="005F4392" w:rsidSect="00606C2A">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418" w:left="1134" w:header="709" w:footer="709" w:gutter="567"/>
                  <w:cols w:space="708"/>
                  <w:titlePg/>
                  <w:docGrid w:linePitch="360"/>
                </w:sectPr>
              </w:pPr>
            </w:p>
          </w:sdtContent>
        </w:sdt>
      </w:sdtContent>
    </w:sdt>
    <w:bookmarkStart w:id="1" w:name="_Ref109147363" w:displacedByCustomXml="prev"/>
    <w:tbl>
      <w:tblPr>
        <w:tblStyle w:val="WolanskiCorpTabela"/>
        <w:tblW w:w="5000" w:type="pct"/>
        <w:tblLook w:val="0420" w:firstRow="1" w:lastRow="0" w:firstColumn="0" w:lastColumn="0" w:noHBand="0" w:noVBand="1"/>
      </w:tblPr>
      <w:tblGrid>
        <w:gridCol w:w="784"/>
        <w:gridCol w:w="3890"/>
        <w:gridCol w:w="8364"/>
        <w:gridCol w:w="954"/>
      </w:tblGrid>
      <w:tr w:rsidR="00047C2C" w:rsidRPr="00AD2C8F" w14:paraId="0B46175A" w14:textId="6D34058B" w:rsidTr="009E1167">
        <w:trPr>
          <w:cnfStyle w:val="100000000000" w:firstRow="1" w:lastRow="0" w:firstColumn="0" w:lastColumn="0" w:oddVBand="0" w:evenVBand="0" w:oddHBand="0" w:evenHBand="0" w:firstRowFirstColumn="0" w:firstRowLastColumn="0" w:lastRowFirstColumn="0" w:lastRowLastColumn="0"/>
          <w:cantSplit w:val="0"/>
        </w:trPr>
        <w:tc>
          <w:tcPr>
            <w:tcW w:w="280" w:type="pct"/>
          </w:tcPr>
          <w:bookmarkEnd w:id="1"/>
          <w:p w14:paraId="20DAEF6C" w14:textId="77777777" w:rsidR="00047C2C" w:rsidRPr="00AD2C8F" w:rsidRDefault="00047C2C" w:rsidP="0011389B">
            <w:pPr>
              <w:jc w:val="left"/>
              <w:rPr>
                <w:sz w:val="20"/>
                <w:szCs w:val="20"/>
              </w:rPr>
            </w:pPr>
            <w:r w:rsidRPr="00AD2C8F">
              <w:rPr>
                <w:caps w:val="0"/>
                <w:sz w:val="20"/>
                <w:szCs w:val="20"/>
              </w:rPr>
              <w:lastRenderedPageBreak/>
              <w:t>Lp.</w:t>
            </w:r>
          </w:p>
        </w:tc>
        <w:tc>
          <w:tcPr>
            <w:tcW w:w="1390" w:type="pct"/>
          </w:tcPr>
          <w:p w14:paraId="7EDE0986" w14:textId="77777777" w:rsidR="00047C2C" w:rsidRPr="00AD2C8F" w:rsidRDefault="00047C2C" w:rsidP="0011389B">
            <w:pPr>
              <w:jc w:val="left"/>
              <w:rPr>
                <w:sz w:val="20"/>
                <w:szCs w:val="20"/>
              </w:rPr>
            </w:pPr>
            <w:r w:rsidRPr="00AD2C8F">
              <w:rPr>
                <w:caps w:val="0"/>
                <w:sz w:val="20"/>
                <w:szCs w:val="20"/>
              </w:rPr>
              <w:t>Pytanie badawcze</w:t>
            </w:r>
          </w:p>
        </w:tc>
        <w:tc>
          <w:tcPr>
            <w:tcW w:w="2989" w:type="pct"/>
          </w:tcPr>
          <w:p w14:paraId="563A07B2" w14:textId="3564276F" w:rsidR="00047C2C" w:rsidRPr="00AD2C8F" w:rsidRDefault="00047C2C" w:rsidP="0011389B">
            <w:pPr>
              <w:jc w:val="left"/>
              <w:rPr>
                <w:sz w:val="20"/>
                <w:szCs w:val="20"/>
              </w:rPr>
            </w:pPr>
            <w:r w:rsidRPr="00AD2C8F">
              <w:rPr>
                <w:caps w:val="0"/>
                <w:sz w:val="20"/>
                <w:szCs w:val="20"/>
              </w:rPr>
              <w:t>Syntetyczna odpowiedź na pytanie badawcze</w:t>
            </w:r>
          </w:p>
        </w:tc>
        <w:tc>
          <w:tcPr>
            <w:tcW w:w="341" w:type="pct"/>
          </w:tcPr>
          <w:p w14:paraId="7FC5955C" w14:textId="6B99B7D7" w:rsidR="00047C2C" w:rsidRPr="00AD2C8F" w:rsidRDefault="00047C2C" w:rsidP="0011389B">
            <w:pPr>
              <w:jc w:val="left"/>
              <w:rPr>
                <w:sz w:val="20"/>
                <w:szCs w:val="20"/>
              </w:rPr>
            </w:pPr>
            <w:r w:rsidRPr="00AD2C8F">
              <w:rPr>
                <w:caps w:val="0"/>
                <w:sz w:val="20"/>
                <w:szCs w:val="20"/>
              </w:rPr>
              <w:t>Rozdział</w:t>
            </w:r>
          </w:p>
        </w:tc>
      </w:tr>
      <w:tr w:rsidR="00047C2C" w:rsidRPr="00AD2C8F" w14:paraId="4F1B1E1C" w14:textId="59FFF1F7"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1AFA8973" w14:textId="77777777" w:rsidR="00047C2C" w:rsidRPr="00AD2C8F" w:rsidRDefault="00047C2C" w:rsidP="0011389B">
            <w:pPr>
              <w:jc w:val="left"/>
              <w:rPr>
                <w:bCs/>
                <w:sz w:val="20"/>
                <w:szCs w:val="20"/>
              </w:rPr>
            </w:pPr>
            <w:r w:rsidRPr="00AD2C8F">
              <w:rPr>
                <w:bCs/>
                <w:sz w:val="20"/>
                <w:szCs w:val="20"/>
              </w:rPr>
              <w:t>1.</w:t>
            </w:r>
          </w:p>
        </w:tc>
        <w:tc>
          <w:tcPr>
            <w:tcW w:w="1390" w:type="pct"/>
          </w:tcPr>
          <w:p w14:paraId="183B19E5" w14:textId="77777777" w:rsidR="00047C2C" w:rsidRPr="00AD2C8F" w:rsidRDefault="00047C2C" w:rsidP="0011389B">
            <w:pPr>
              <w:jc w:val="left"/>
              <w:rPr>
                <w:bCs/>
                <w:sz w:val="20"/>
                <w:szCs w:val="20"/>
              </w:rPr>
            </w:pPr>
            <w:r w:rsidRPr="00AD2C8F">
              <w:rPr>
                <w:bCs/>
                <w:sz w:val="20"/>
                <w:szCs w:val="20"/>
              </w:rPr>
              <w:t>Jak oceniana jest logika interwencji (zakres i charakterystyka wsparcia)? Czy zastosowana logika interwencji pozwoliła/pozwoli na osiągnięcie spodziewanych efektów w ramach RPO WP 2014-2020?</w:t>
            </w:r>
          </w:p>
        </w:tc>
        <w:tc>
          <w:tcPr>
            <w:tcW w:w="2989" w:type="pct"/>
          </w:tcPr>
          <w:p w14:paraId="2126230B" w14:textId="6923B1CD" w:rsidR="00047C2C" w:rsidRPr="00AD2C8F" w:rsidRDefault="00047C2C" w:rsidP="0011389B">
            <w:pPr>
              <w:jc w:val="left"/>
              <w:rPr>
                <w:bCs/>
                <w:sz w:val="20"/>
                <w:szCs w:val="20"/>
              </w:rPr>
            </w:pPr>
            <w:r w:rsidRPr="00AD2C8F">
              <w:rPr>
                <w:bCs/>
                <w:sz w:val="20"/>
                <w:szCs w:val="20"/>
              </w:rPr>
              <w:t>Logika interwencji charakteryzuje się wskazaniem kluczowych problemów, z jakimi boryka się transport w województwie podkarpackim. Zwraca się szczególną uwagę na odniesienie do celów strategicznych wskazywanych w dokumentach unijnych. Zastosowana logika interwencji pozwoliła na osiągnięcie spodziewanych efektów, które zostaną zmaksymalizowane po zakończeniu realizacji wszystkich projektów</w:t>
            </w:r>
          </w:p>
        </w:tc>
        <w:tc>
          <w:tcPr>
            <w:tcW w:w="341" w:type="pct"/>
          </w:tcPr>
          <w:p w14:paraId="6B6E02C3" w14:textId="77777777" w:rsidR="00047C2C" w:rsidRPr="00AD2C8F" w:rsidRDefault="00750781" w:rsidP="0011389B">
            <w:pPr>
              <w:jc w:val="left"/>
              <w:rPr>
                <w:bCs/>
                <w:sz w:val="20"/>
                <w:szCs w:val="20"/>
              </w:rPr>
            </w:pPr>
            <w:r w:rsidRPr="00AD2C8F">
              <w:rPr>
                <w:bCs/>
                <w:sz w:val="20"/>
                <w:szCs w:val="20"/>
              </w:rPr>
              <w:t>3.1</w:t>
            </w:r>
          </w:p>
          <w:p w14:paraId="1EC9F309" w14:textId="77777777" w:rsidR="00750781" w:rsidRPr="00AD2C8F" w:rsidRDefault="00750781" w:rsidP="0011389B">
            <w:pPr>
              <w:jc w:val="left"/>
              <w:rPr>
                <w:bCs/>
                <w:sz w:val="20"/>
                <w:szCs w:val="20"/>
              </w:rPr>
            </w:pPr>
            <w:r w:rsidRPr="00AD2C8F">
              <w:rPr>
                <w:bCs/>
                <w:sz w:val="20"/>
                <w:szCs w:val="20"/>
              </w:rPr>
              <w:t>3.2</w:t>
            </w:r>
          </w:p>
          <w:p w14:paraId="0F873AD8" w14:textId="77777777" w:rsidR="00750781" w:rsidRPr="00AD2C8F" w:rsidRDefault="00750781" w:rsidP="0011389B">
            <w:pPr>
              <w:jc w:val="left"/>
              <w:rPr>
                <w:bCs/>
                <w:sz w:val="20"/>
                <w:szCs w:val="20"/>
              </w:rPr>
            </w:pPr>
            <w:r w:rsidRPr="00AD2C8F">
              <w:rPr>
                <w:bCs/>
                <w:sz w:val="20"/>
                <w:szCs w:val="20"/>
              </w:rPr>
              <w:t>3.3</w:t>
            </w:r>
          </w:p>
          <w:p w14:paraId="4AF28133" w14:textId="16E3D31B" w:rsidR="00750781" w:rsidRPr="00AD2C8F" w:rsidRDefault="00750781" w:rsidP="0011389B">
            <w:pPr>
              <w:jc w:val="left"/>
              <w:rPr>
                <w:bCs/>
                <w:sz w:val="20"/>
                <w:szCs w:val="20"/>
              </w:rPr>
            </w:pPr>
            <w:r w:rsidRPr="00AD2C8F">
              <w:rPr>
                <w:bCs/>
                <w:sz w:val="20"/>
                <w:szCs w:val="20"/>
              </w:rPr>
              <w:t>3.4</w:t>
            </w:r>
          </w:p>
        </w:tc>
      </w:tr>
      <w:tr w:rsidR="00047C2C" w:rsidRPr="00AD2C8F" w14:paraId="318BC7EB" w14:textId="54534DA7" w:rsidTr="009E1167">
        <w:trPr>
          <w:cantSplit w:val="0"/>
        </w:trPr>
        <w:tc>
          <w:tcPr>
            <w:tcW w:w="280" w:type="pct"/>
          </w:tcPr>
          <w:p w14:paraId="5E5F0318" w14:textId="77777777" w:rsidR="00047C2C" w:rsidRPr="00AD2C8F" w:rsidRDefault="00047C2C" w:rsidP="0011389B">
            <w:pPr>
              <w:jc w:val="left"/>
              <w:rPr>
                <w:bCs/>
                <w:sz w:val="20"/>
                <w:szCs w:val="20"/>
              </w:rPr>
            </w:pPr>
            <w:r w:rsidRPr="00AD2C8F">
              <w:rPr>
                <w:bCs/>
                <w:sz w:val="20"/>
                <w:szCs w:val="20"/>
              </w:rPr>
              <w:t>2.</w:t>
            </w:r>
          </w:p>
        </w:tc>
        <w:tc>
          <w:tcPr>
            <w:tcW w:w="1390" w:type="pct"/>
          </w:tcPr>
          <w:p w14:paraId="1F603658" w14:textId="77777777" w:rsidR="00047C2C" w:rsidRPr="00AD2C8F" w:rsidRDefault="00047C2C" w:rsidP="0011389B">
            <w:pPr>
              <w:jc w:val="left"/>
              <w:rPr>
                <w:bCs/>
                <w:sz w:val="20"/>
                <w:szCs w:val="20"/>
              </w:rPr>
            </w:pPr>
            <w:r w:rsidRPr="00AD2C8F">
              <w:rPr>
                <w:bCs/>
                <w:sz w:val="20"/>
                <w:szCs w:val="20"/>
              </w:rPr>
              <w:t>W jakim stopniu projekty realizowane w ramach OP V RPO WP 2014-2020 przyczyniają się do realizacji zobowiązań i celów strategicznych wynikających z dokumentów unijnych, krajowych i regionalnych?</w:t>
            </w:r>
          </w:p>
        </w:tc>
        <w:tc>
          <w:tcPr>
            <w:tcW w:w="2989" w:type="pct"/>
          </w:tcPr>
          <w:p w14:paraId="6A78A62C" w14:textId="15F2BF58" w:rsidR="00047C2C" w:rsidRPr="00AD2C8F" w:rsidRDefault="00047C2C" w:rsidP="0011389B">
            <w:pPr>
              <w:jc w:val="left"/>
              <w:rPr>
                <w:bCs/>
                <w:sz w:val="20"/>
                <w:szCs w:val="20"/>
              </w:rPr>
            </w:pPr>
            <w:r w:rsidRPr="00AD2C8F">
              <w:rPr>
                <w:bCs/>
                <w:sz w:val="20"/>
                <w:szCs w:val="20"/>
              </w:rPr>
              <w:t>Analiza dokumentów wykazała, że projekty realizowane w ramach OP V RPO WP 2014-2020 generalnie powinny przyczynić się do realizacji zobowiązań i celów strategicznych wynikających z dokumentacji unijnej, krajowej i regionalnej. Uwagi można zgłosić do działań niskoemisyjnych, w ramach których dopuszczono realizację projektów o charakterze infrastrukturalnym (związanym z</w:t>
            </w:r>
            <w:r w:rsidR="008A6715">
              <w:rPr>
                <w:bCs/>
                <w:sz w:val="20"/>
                <w:szCs w:val="20"/>
              </w:rPr>
              <w:t> </w:t>
            </w:r>
            <w:r w:rsidRPr="00AD2C8F">
              <w:rPr>
                <w:bCs/>
                <w:sz w:val="20"/>
                <w:szCs w:val="20"/>
              </w:rPr>
              <w:t>budową infrastruktury drogowej). W dokumentach na poziomie regionalnym była także zwracana uwaga na kwestię dostępności transportowej rejonu Bieszczad.</w:t>
            </w:r>
          </w:p>
        </w:tc>
        <w:tc>
          <w:tcPr>
            <w:tcW w:w="341" w:type="pct"/>
          </w:tcPr>
          <w:p w14:paraId="1AD6EE7D" w14:textId="72EA4194" w:rsidR="00047C2C" w:rsidRPr="00AD2C8F" w:rsidRDefault="00047C2C" w:rsidP="0011389B">
            <w:pPr>
              <w:jc w:val="left"/>
              <w:rPr>
                <w:bCs/>
                <w:sz w:val="20"/>
                <w:szCs w:val="20"/>
              </w:rPr>
            </w:pPr>
            <w:r w:rsidRPr="00AD2C8F">
              <w:rPr>
                <w:bCs/>
                <w:sz w:val="20"/>
                <w:szCs w:val="20"/>
              </w:rPr>
              <w:t>Załącznik 2</w:t>
            </w:r>
          </w:p>
        </w:tc>
      </w:tr>
      <w:tr w:rsidR="00047C2C" w:rsidRPr="00AD2C8F" w14:paraId="65718EBF" w14:textId="4287FDB0"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5A81455B" w14:textId="77777777" w:rsidR="00047C2C" w:rsidRPr="00AD2C8F" w:rsidRDefault="00047C2C" w:rsidP="0011389B">
            <w:pPr>
              <w:jc w:val="left"/>
              <w:rPr>
                <w:bCs/>
                <w:sz w:val="20"/>
                <w:szCs w:val="20"/>
              </w:rPr>
            </w:pPr>
            <w:r w:rsidRPr="00AD2C8F">
              <w:rPr>
                <w:bCs/>
                <w:sz w:val="20"/>
                <w:szCs w:val="20"/>
              </w:rPr>
              <w:t>3.</w:t>
            </w:r>
          </w:p>
        </w:tc>
        <w:tc>
          <w:tcPr>
            <w:tcW w:w="1390" w:type="pct"/>
          </w:tcPr>
          <w:p w14:paraId="47B44488" w14:textId="77777777" w:rsidR="00047C2C" w:rsidRPr="00AD2C8F" w:rsidRDefault="00047C2C" w:rsidP="0011389B">
            <w:pPr>
              <w:jc w:val="left"/>
              <w:rPr>
                <w:bCs/>
                <w:sz w:val="20"/>
                <w:szCs w:val="20"/>
              </w:rPr>
            </w:pPr>
            <w:r w:rsidRPr="00AD2C8F">
              <w:rPr>
                <w:bCs/>
                <w:sz w:val="20"/>
                <w:szCs w:val="20"/>
              </w:rPr>
              <w:t>Jaka jest skuteczność wsparcia w ramach OP V RPO WP 2014-2020?</w:t>
            </w:r>
          </w:p>
        </w:tc>
        <w:tc>
          <w:tcPr>
            <w:tcW w:w="2989" w:type="pct"/>
          </w:tcPr>
          <w:p w14:paraId="5AF8CB99" w14:textId="77777777" w:rsidR="00047C2C" w:rsidRPr="00AD2C8F" w:rsidRDefault="00047C2C" w:rsidP="0011389B">
            <w:pPr>
              <w:jc w:val="left"/>
              <w:rPr>
                <w:bCs/>
                <w:sz w:val="20"/>
                <w:szCs w:val="20"/>
              </w:rPr>
            </w:pPr>
            <w:r w:rsidRPr="00AD2C8F">
              <w:rPr>
                <w:bCs/>
                <w:sz w:val="20"/>
                <w:szCs w:val="20"/>
              </w:rPr>
              <w:t>Skuteczność wsparcia w ramach projektów związanych z infrastrukturą drogową można ocenić na poziomie zadowalającym. Dzięki realizacji inwestycji udało się zapewnić bezpośrednie połączenia do sieci TEN-T, w tym także do dróg krajowych prowadzących do autostrady A4 i drogi ekspresowej S19. Projekty swoim zasięgiem nie objęły jednak południowej części województwa, która na etapie tworzenia interwencji była wskazywana jako posiadająca znaczne ograniczenia w dostępności transportem drogowym. W momencie realizacji badania nie zostały osiągnięte wszystkie zakładane wskaźniki. Przewiduje się jednak, że po zakończeniu realizacji projektów w 2023 roku wskaźniki zostaną osiągnięte.</w:t>
            </w:r>
          </w:p>
          <w:p w14:paraId="24248EA4" w14:textId="77777777" w:rsidR="00047C2C" w:rsidRPr="00AD2C8F" w:rsidRDefault="00047C2C" w:rsidP="0011389B">
            <w:pPr>
              <w:jc w:val="left"/>
              <w:rPr>
                <w:bCs/>
                <w:sz w:val="20"/>
                <w:szCs w:val="20"/>
              </w:rPr>
            </w:pPr>
            <w:r w:rsidRPr="00AD2C8F">
              <w:rPr>
                <w:bCs/>
                <w:sz w:val="20"/>
                <w:szCs w:val="20"/>
              </w:rPr>
              <w:t xml:space="preserve">W ramach działania przewidzianego dla infrastruktury przeładunkowej realizowany jest jeden projekt dotyczący budowy terminala na stacji LHS Wola Baranowska. Z uwagi na wydłużające się procesy administracyjne, projekt jest realizowany z opóźnieniem około 3 lat. Na chwilę obecną nie są zrealizowane żadne wskaźniki. Co ważne, do dofinansowania został wybrany jeszcze jeden projekt, jednak umowa na jego realizację nie została podpisana. Wskaźniki mają szansę zostać osiągnięte tylko </w:t>
            </w:r>
            <w:r w:rsidRPr="00AD2C8F">
              <w:rPr>
                <w:bCs/>
                <w:sz w:val="20"/>
                <w:szCs w:val="20"/>
              </w:rPr>
              <w:lastRenderedPageBreak/>
              <w:t>w przypadku realizacji obu projektów. Zakończenie budowy terminala w Knapach pozwoli więc jedynie na ich częściowe osiągnięcie.</w:t>
            </w:r>
          </w:p>
          <w:p w14:paraId="0877E09E" w14:textId="77777777" w:rsidR="00047C2C" w:rsidRPr="00AD2C8F" w:rsidRDefault="00047C2C" w:rsidP="0011389B">
            <w:pPr>
              <w:jc w:val="left"/>
              <w:rPr>
                <w:bCs/>
                <w:sz w:val="20"/>
                <w:szCs w:val="20"/>
              </w:rPr>
            </w:pPr>
            <w:r w:rsidRPr="00AD2C8F">
              <w:rPr>
                <w:bCs/>
                <w:sz w:val="20"/>
                <w:szCs w:val="20"/>
              </w:rPr>
              <w:t>Inwestycje z zakresu infrastruktury kolejowej objęły trzy rodzaje projektów: przygotowanie dokumentacji projektowej, rewitalizacje linii kolejowych oraz zakup taboru. Aktualny stan realizacji projektów pozwala na 100% realizacji wskaźnika dotyczącego taboru. Ukończenie prac budowlanych na LK 25 i  Przeworskiej Kolei Wąskotorowej pozwoli na osiągnięcie wskaźników w zakresie długości przebudowanych lub zmodernizowanych linii kolejowych.</w:t>
            </w:r>
          </w:p>
          <w:p w14:paraId="313BFD4F" w14:textId="5AF364BA" w:rsidR="00047C2C" w:rsidRPr="00AD2C8F" w:rsidRDefault="00047C2C" w:rsidP="0011389B">
            <w:pPr>
              <w:jc w:val="left"/>
              <w:rPr>
                <w:bCs/>
                <w:sz w:val="20"/>
                <w:szCs w:val="20"/>
              </w:rPr>
            </w:pPr>
            <w:r w:rsidRPr="00AD2C8F">
              <w:rPr>
                <w:bCs/>
                <w:sz w:val="20"/>
                <w:szCs w:val="20"/>
              </w:rPr>
              <w:t xml:space="preserve">W ramach interwencji w zakresie niskoemisyjnego transportu miejskiego realizowane były projekty kierowane do MOF-ów oraz do ROF (działającego w formule ZIT). Warto zauważyć, że w przypadku MOF-ów projekty nie objęły swoim zasięgiem wszystkich gmin z danego obszaru. Dla realizowanego działania zostały osiągnięte wszystkie wymagane wskaźniki projektowe. </w:t>
            </w:r>
            <w:r w:rsidR="00A61F50">
              <w:rPr>
                <w:bCs/>
                <w:sz w:val="20"/>
                <w:szCs w:val="20"/>
              </w:rPr>
              <w:t>Zakładana</w:t>
            </w:r>
            <w:r w:rsidRPr="00AD2C8F">
              <w:rPr>
                <w:bCs/>
                <w:sz w:val="20"/>
                <w:szCs w:val="20"/>
              </w:rPr>
              <w:t xml:space="preserve"> wartość przewozów pasażerskich została osiągnięta w 2019 roku, co zostało później ograniczone w wyniku obostrzeń pandemicznych. Alokacja przeznaczona na działania związane z niską emisją jest mała, w szczególności w kontekście oczekiwań stawianych przez KE. Co ważne, część z tych środków została przeznaczona na inwestycję w infrastrukturę drogową (teoretycznie mającą wzmacniać rolę transportu publicznego). Dostrzega się jednak złudny wpływ inwestycji na ograniczanie emisyjności transportu</w:t>
            </w:r>
            <w:r w:rsidR="008A6715">
              <w:rPr>
                <w:bCs/>
                <w:sz w:val="20"/>
                <w:szCs w:val="20"/>
              </w:rPr>
              <w:t>.</w:t>
            </w:r>
          </w:p>
        </w:tc>
        <w:tc>
          <w:tcPr>
            <w:tcW w:w="341" w:type="pct"/>
          </w:tcPr>
          <w:p w14:paraId="0C5A996F" w14:textId="77777777" w:rsidR="00047C2C" w:rsidRPr="00AD2C8F" w:rsidRDefault="00750781" w:rsidP="0011389B">
            <w:pPr>
              <w:jc w:val="left"/>
              <w:rPr>
                <w:bCs/>
                <w:sz w:val="20"/>
                <w:szCs w:val="20"/>
              </w:rPr>
            </w:pPr>
            <w:r w:rsidRPr="00AD2C8F">
              <w:rPr>
                <w:bCs/>
                <w:sz w:val="20"/>
                <w:szCs w:val="20"/>
              </w:rPr>
              <w:lastRenderedPageBreak/>
              <w:t>4.1</w:t>
            </w:r>
          </w:p>
          <w:p w14:paraId="1D50DCC6" w14:textId="77777777" w:rsidR="00750781" w:rsidRPr="00AD2C8F" w:rsidRDefault="00750781" w:rsidP="0011389B">
            <w:pPr>
              <w:jc w:val="left"/>
              <w:rPr>
                <w:bCs/>
                <w:sz w:val="20"/>
                <w:szCs w:val="20"/>
              </w:rPr>
            </w:pPr>
            <w:r w:rsidRPr="00AD2C8F">
              <w:rPr>
                <w:bCs/>
                <w:sz w:val="20"/>
                <w:szCs w:val="20"/>
              </w:rPr>
              <w:t>4.2</w:t>
            </w:r>
          </w:p>
          <w:p w14:paraId="268C0998" w14:textId="77777777" w:rsidR="00750781" w:rsidRPr="00AD2C8F" w:rsidRDefault="00750781" w:rsidP="0011389B">
            <w:pPr>
              <w:jc w:val="left"/>
              <w:rPr>
                <w:bCs/>
                <w:sz w:val="20"/>
                <w:szCs w:val="20"/>
              </w:rPr>
            </w:pPr>
            <w:r w:rsidRPr="00AD2C8F">
              <w:rPr>
                <w:bCs/>
                <w:sz w:val="20"/>
                <w:szCs w:val="20"/>
              </w:rPr>
              <w:t>4.3</w:t>
            </w:r>
          </w:p>
          <w:p w14:paraId="761C1F54" w14:textId="6136FE2E" w:rsidR="00750781" w:rsidRPr="00AD2C8F" w:rsidRDefault="00750781" w:rsidP="0011389B">
            <w:pPr>
              <w:jc w:val="left"/>
              <w:rPr>
                <w:bCs/>
                <w:sz w:val="20"/>
                <w:szCs w:val="20"/>
              </w:rPr>
            </w:pPr>
            <w:r w:rsidRPr="00AD2C8F">
              <w:rPr>
                <w:bCs/>
                <w:sz w:val="20"/>
                <w:szCs w:val="20"/>
              </w:rPr>
              <w:t>4.4</w:t>
            </w:r>
          </w:p>
        </w:tc>
      </w:tr>
      <w:tr w:rsidR="00047C2C" w:rsidRPr="00AD2C8F" w14:paraId="14F95722" w14:textId="2FEAC3EA" w:rsidTr="009E1167">
        <w:trPr>
          <w:cantSplit w:val="0"/>
        </w:trPr>
        <w:tc>
          <w:tcPr>
            <w:tcW w:w="280" w:type="pct"/>
          </w:tcPr>
          <w:p w14:paraId="507E276D" w14:textId="77777777" w:rsidR="00047C2C" w:rsidRPr="00AD2C8F" w:rsidRDefault="00047C2C" w:rsidP="0011389B">
            <w:pPr>
              <w:jc w:val="left"/>
              <w:rPr>
                <w:bCs/>
                <w:sz w:val="20"/>
                <w:szCs w:val="20"/>
              </w:rPr>
            </w:pPr>
            <w:r w:rsidRPr="00AD2C8F">
              <w:rPr>
                <w:bCs/>
                <w:sz w:val="20"/>
                <w:szCs w:val="20"/>
              </w:rPr>
              <w:t>4.</w:t>
            </w:r>
          </w:p>
        </w:tc>
        <w:tc>
          <w:tcPr>
            <w:tcW w:w="1390" w:type="pct"/>
          </w:tcPr>
          <w:p w14:paraId="61B1107B" w14:textId="77777777" w:rsidR="00047C2C" w:rsidRPr="00AD2C8F" w:rsidRDefault="00047C2C" w:rsidP="0011389B">
            <w:pPr>
              <w:jc w:val="left"/>
              <w:rPr>
                <w:bCs/>
                <w:sz w:val="20"/>
                <w:szCs w:val="20"/>
              </w:rPr>
            </w:pPr>
            <w:r w:rsidRPr="00AD2C8F">
              <w:rPr>
                <w:bCs/>
                <w:sz w:val="20"/>
                <w:szCs w:val="20"/>
              </w:rPr>
              <w:t>Jakie efekty osiągnięto dzięki realizacji projektów finansowanych w ramach OP V?  Czy wystąpiły nieplanowane efekty interwencji?</w:t>
            </w:r>
          </w:p>
        </w:tc>
        <w:tc>
          <w:tcPr>
            <w:tcW w:w="2989" w:type="pct"/>
          </w:tcPr>
          <w:p w14:paraId="15B9BE4B" w14:textId="77777777" w:rsidR="00047C2C" w:rsidRPr="00AD2C8F" w:rsidRDefault="00047C2C" w:rsidP="0011389B">
            <w:pPr>
              <w:jc w:val="left"/>
              <w:rPr>
                <w:bCs/>
                <w:sz w:val="20"/>
                <w:szCs w:val="20"/>
              </w:rPr>
            </w:pPr>
            <w:r w:rsidRPr="00AD2C8F">
              <w:rPr>
                <w:bCs/>
                <w:sz w:val="20"/>
                <w:szCs w:val="20"/>
              </w:rPr>
              <w:t>Efektem interwencji w zakresie działania 5.1 jest przede wszystkim poprawa lokalnych połączeń drogowych z siecią TEN-T i zapewniającymi dojazd do niej drogami krajowymi. Wskazuje się także na poprawę  przepustowości, bezpieczeństwa oraz ograniczenie występowania wąskich gardeł. Największą efektywnością interwencji charakteryzują się wybudowane obwodnice i łącznice dróg.</w:t>
            </w:r>
          </w:p>
          <w:p w14:paraId="133C8184" w14:textId="77777777" w:rsidR="00047C2C" w:rsidRPr="00AD2C8F" w:rsidRDefault="00047C2C" w:rsidP="0011389B">
            <w:pPr>
              <w:jc w:val="left"/>
              <w:rPr>
                <w:bCs/>
                <w:sz w:val="20"/>
                <w:szCs w:val="20"/>
              </w:rPr>
            </w:pPr>
            <w:r w:rsidRPr="00AD2C8F">
              <w:rPr>
                <w:bCs/>
                <w:sz w:val="20"/>
                <w:szCs w:val="20"/>
              </w:rPr>
              <w:t>Na chwilę obecną trudno jest ocenić końcowe efekty inwestycji w ramach działania 5.2. Zakłada się zwiększenie mocy przeładunkowych, które będzie możliwe do oceny dopiero po zakończeniu realizacji inwestycji. Badanie case study, a także wywiady indywidualne wskazują, że realizacja projektu związanego z budową terminalu przeładunkowego na stacji LHS Wola Baranowska może przynieść nad wymiar korzystny wpływ na rozwój społeczno-gospodarczy regionu.</w:t>
            </w:r>
          </w:p>
          <w:p w14:paraId="4F9265B6" w14:textId="4B72B54B" w:rsidR="00047C2C" w:rsidRPr="00AD2C8F" w:rsidRDefault="00047C2C" w:rsidP="0011389B">
            <w:pPr>
              <w:jc w:val="left"/>
              <w:rPr>
                <w:bCs/>
                <w:sz w:val="20"/>
                <w:szCs w:val="20"/>
              </w:rPr>
            </w:pPr>
            <w:r w:rsidRPr="00AD2C8F">
              <w:rPr>
                <w:bCs/>
                <w:sz w:val="20"/>
                <w:szCs w:val="20"/>
              </w:rPr>
              <w:lastRenderedPageBreak/>
              <w:t>Efektami realizowanych inwestycji kolejowych oprócz powstałej dokumentacji projektowej, są poprawa dostępności kolejowej województwa podkarpackiego oraz wyeliminowanie wyeksploatowanego taboru. Do tej pory zrewitalizowano 10,73 km LK 106 oraz zakupiono 9 sztuk taboru kolejowego. Odnotowuje się pozytywny wpływ inwestycji na rozwój regionu. Zwraca się przede wszystkim uwagę na dostępność rynku pracy, co może przenosić się także na rozwój przedsiębiorczości w regionie.</w:t>
            </w:r>
            <w:r w:rsidR="00A61F50">
              <w:rPr>
                <w:bCs/>
                <w:sz w:val="20"/>
                <w:szCs w:val="20"/>
              </w:rPr>
              <w:t xml:space="preserve"> Nieplanowanym efektem jest zmniejszenie zobowiązań Samorządu Województwa wobec </w:t>
            </w:r>
            <w:proofErr w:type="spellStart"/>
            <w:r w:rsidR="00A61F50">
              <w:rPr>
                <w:bCs/>
                <w:sz w:val="20"/>
                <w:szCs w:val="20"/>
              </w:rPr>
              <w:t>Polregio</w:t>
            </w:r>
            <w:proofErr w:type="spellEnd"/>
            <w:r w:rsidR="00A61F50">
              <w:rPr>
                <w:bCs/>
                <w:sz w:val="20"/>
                <w:szCs w:val="20"/>
              </w:rPr>
              <w:t xml:space="preserve"> wynikającego ze zmniejszenia opłat za wykorzystywanie taboru operatora.</w:t>
            </w:r>
          </w:p>
          <w:p w14:paraId="7D2B1554" w14:textId="77777777" w:rsidR="00047C2C" w:rsidRDefault="00047C2C" w:rsidP="0011389B">
            <w:pPr>
              <w:jc w:val="left"/>
              <w:rPr>
                <w:bCs/>
                <w:sz w:val="20"/>
                <w:szCs w:val="20"/>
              </w:rPr>
            </w:pPr>
            <w:r w:rsidRPr="00AD2C8F">
              <w:rPr>
                <w:bCs/>
                <w:sz w:val="20"/>
                <w:szCs w:val="20"/>
              </w:rPr>
              <w:t>Efektem realizowanych projektów niskoemisyjnych jest przede wszystkim ograniczenie emisyjności transportu w miastach i ich obszarach funkcjonalnych. W ramach interwencji zakupiony został tabor autobusowy, wybudowane nowe wiaty przystankowe, stworzone nowe linie autobusowe. Wsparcie objęło także budowę dróg i mostów</w:t>
            </w:r>
            <w:r w:rsidR="00A61F50">
              <w:rPr>
                <w:bCs/>
                <w:sz w:val="20"/>
                <w:szCs w:val="20"/>
              </w:rPr>
              <w:t>.</w:t>
            </w:r>
          </w:p>
          <w:p w14:paraId="0FA3AB8F" w14:textId="15B410A3" w:rsidR="00A61F50" w:rsidRPr="00AD2C8F" w:rsidRDefault="00A61F50" w:rsidP="0011389B">
            <w:pPr>
              <w:jc w:val="left"/>
              <w:rPr>
                <w:bCs/>
                <w:sz w:val="20"/>
                <w:szCs w:val="20"/>
              </w:rPr>
            </w:pPr>
            <w:r>
              <w:rPr>
                <w:bCs/>
                <w:sz w:val="20"/>
                <w:szCs w:val="20"/>
              </w:rPr>
              <w:t xml:space="preserve">Dla inwestycji drogowych, terminalowych, transportu niskoemisyjnego nie zaobserwowano nieplanowanych efektów interwencji. </w:t>
            </w:r>
          </w:p>
        </w:tc>
        <w:tc>
          <w:tcPr>
            <w:tcW w:w="341" w:type="pct"/>
          </w:tcPr>
          <w:p w14:paraId="4B0C44EB" w14:textId="77777777" w:rsidR="00750781" w:rsidRPr="00AD2C8F" w:rsidRDefault="00750781" w:rsidP="00750781">
            <w:pPr>
              <w:jc w:val="left"/>
              <w:rPr>
                <w:bCs/>
                <w:sz w:val="20"/>
                <w:szCs w:val="20"/>
              </w:rPr>
            </w:pPr>
            <w:r w:rsidRPr="00AD2C8F">
              <w:rPr>
                <w:bCs/>
                <w:sz w:val="20"/>
                <w:szCs w:val="20"/>
              </w:rPr>
              <w:lastRenderedPageBreak/>
              <w:t>4.1</w:t>
            </w:r>
          </w:p>
          <w:p w14:paraId="30BCC583" w14:textId="77777777" w:rsidR="00750781" w:rsidRPr="00AD2C8F" w:rsidRDefault="00750781" w:rsidP="00750781">
            <w:pPr>
              <w:jc w:val="left"/>
              <w:rPr>
                <w:bCs/>
                <w:sz w:val="20"/>
                <w:szCs w:val="20"/>
              </w:rPr>
            </w:pPr>
            <w:r w:rsidRPr="00AD2C8F">
              <w:rPr>
                <w:bCs/>
                <w:sz w:val="20"/>
                <w:szCs w:val="20"/>
              </w:rPr>
              <w:t>4.2</w:t>
            </w:r>
          </w:p>
          <w:p w14:paraId="54F1F9C5" w14:textId="77777777" w:rsidR="00750781" w:rsidRPr="00AD2C8F" w:rsidRDefault="00750781" w:rsidP="00750781">
            <w:pPr>
              <w:jc w:val="left"/>
              <w:rPr>
                <w:bCs/>
                <w:sz w:val="20"/>
                <w:szCs w:val="20"/>
              </w:rPr>
            </w:pPr>
            <w:r w:rsidRPr="00AD2C8F">
              <w:rPr>
                <w:bCs/>
                <w:sz w:val="20"/>
                <w:szCs w:val="20"/>
              </w:rPr>
              <w:t>4.3</w:t>
            </w:r>
          </w:p>
          <w:p w14:paraId="5C6ABF26" w14:textId="6207E9D5" w:rsidR="00047C2C" w:rsidRPr="00AD2C8F" w:rsidRDefault="00750781" w:rsidP="00750781">
            <w:pPr>
              <w:jc w:val="left"/>
              <w:rPr>
                <w:bCs/>
                <w:sz w:val="20"/>
                <w:szCs w:val="20"/>
              </w:rPr>
            </w:pPr>
            <w:r w:rsidRPr="00AD2C8F">
              <w:rPr>
                <w:bCs/>
                <w:sz w:val="20"/>
                <w:szCs w:val="20"/>
              </w:rPr>
              <w:t>4.4</w:t>
            </w:r>
          </w:p>
        </w:tc>
      </w:tr>
      <w:tr w:rsidR="00047C2C" w:rsidRPr="00AD2C8F" w14:paraId="599B43E1" w14:textId="0633F82A"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3C906016" w14:textId="77777777" w:rsidR="00047C2C" w:rsidRPr="00AD2C8F" w:rsidRDefault="00047C2C" w:rsidP="0011389B">
            <w:pPr>
              <w:jc w:val="left"/>
              <w:rPr>
                <w:bCs/>
                <w:sz w:val="20"/>
                <w:szCs w:val="20"/>
              </w:rPr>
            </w:pPr>
            <w:r w:rsidRPr="00AD2C8F">
              <w:rPr>
                <w:bCs/>
                <w:sz w:val="20"/>
                <w:szCs w:val="20"/>
              </w:rPr>
              <w:t>5.</w:t>
            </w:r>
          </w:p>
        </w:tc>
        <w:tc>
          <w:tcPr>
            <w:tcW w:w="1390" w:type="pct"/>
          </w:tcPr>
          <w:p w14:paraId="3EB351B1" w14:textId="77777777" w:rsidR="00047C2C" w:rsidRPr="00AD2C8F" w:rsidRDefault="00047C2C" w:rsidP="0011389B">
            <w:pPr>
              <w:jc w:val="left"/>
              <w:rPr>
                <w:bCs/>
                <w:sz w:val="20"/>
                <w:szCs w:val="20"/>
              </w:rPr>
            </w:pPr>
            <w:r w:rsidRPr="00AD2C8F">
              <w:rPr>
                <w:bCs/>
                <w:sz w:val="20"/>
                <w:szCs w:val="20"/>
              </w:rPr>
              <w:t>Jak należy ocenić efektywność realizowanych projektów? Jaka jest relacja między kosztami, nakładami, zasobami a osiągniętymi efektami wsparcia?</w:t>
            </w:r>
          </w:p>
        </w:tc>
        <w:tc>
          <w:tcPr>
            <w:tcW w:w="2989" w:type="pct"/>
          </w:tcPr>
          <w:p w14:paraId="089E36FE" w14:textId="77777777" w:rsidR="00047C2C" w:rsidRPr="00AD2C8F" w:rsidRDefault="00047C2C" w:rsidP="0011389B">
            <w:pPr>
              <w:jc w:val="left"/>
              <w:rPr>
                <w:bCs/>
                <w:sz w:val="20"/>
                <w:szCs w:val="20"/>
              </w:rPr>
            </w:pPr>
            <w:r w:rsidRPr="00AD2C8F">
              <w:rPr>
                <w:bCs/>
                <w:sz w:val="20"/>
                <w:szCs w:val="20"/>
              </w:rPr>
              <w:t>Realizacja inwestycji w ramach działania 5.1  przyczyniła się do ograniczenia liczby wypadków na obszarze województwa. W zakresie efektywności kosztowej warto podkreślić, że większość inwestycji została zrealizowana przed okresem pandemicznym, co pozwoliło uniknąć wzrostów cen. Zastosowane rozwiązania techniczne są także optymalne finansowo.</w:t>
            </w:r>
          </w:p>
          <w:p w14:paraId="0CE4C667" w14:textId="77777777" w:rsidR="00047C2C" w:rsidRPr="00AD2C8F" w:rsidRDefault="00047C2C" w:rsidP="0011389B">
            <w:pPr>
              <w:jc w:val="left"/>
              <w:rPr>
                <w:bCs/>
                <w:sz w:val="20"/>
                <w:szCs w:val="20"/>
              </w:rPr>
            </w:pPr>
            <w:r w:rsidRPr="00AD2C8F">
              <w:rPr>
                <w:bCs/>
                <w:sz w:val="20"/>
                <w:szCs w:val="20"/>
              </w:rPr>
              <w:t>Efektywność ekonomiczna projektu realizowanego dla działania 5.2 jest na niezadowalającym poziomie. Przedłużające się procedury administracyjne spowodowały 100% wzrostu kosztów realizacji inwestycji, co pozwala wnioskować, że bardziej zasadne byłoby sfinansowanie realizacji projektu ze środków własnych beneficjenta.</w:t>
            </w:r>
          </w:p>
          <w:p w14:paraId="5B5A06ED" w14:textId="77777777" w:rsidR="00047C2C" w:rsidRPr="00AD2C8F" w:rsidRDefault="00047C2C" w:rsidP="0011389B">
            <w:pPr>
              <w:jc w:val="left"/>
              <w:rPr>
                <w:bCs/>
                <w:sz w:val="20"/>
                <w:szCs w:val="20"/>
              </w:rPr>
            </w:pPr>
            <w:r w:rsidRPr="00AD2C8F">
              <w:rPr>
                <w:bCs/>
                <w:sz w:val="20"/>
                <w:szCs w:val="20"/>
              </w:rPr>
              <w:t xml:space="preserve">Dla projektów kolejowych zauważyć należy, że tabor został zakupiony na początku realizacji interwencji. Pozwoliło to na otrzymanie ofert pozwalających na zakup taboru w zakładanych cenach. Realizacja interwencji w późniejszym terminie mogłaby skutkować potrzebą wniesienia większego wkładu przez beneficjenta. </w:t>
            </w:r>
          </w:p>
          <w:p w14:paraId="42F8B096" w14:textId="619FEDE6" w:rsidR="00047C2C" w:rsidRPr="00AD2C8F" w:rsidRDefault="00047C2C" w:rsidP="00047C2C">
            <w:pPr>
              <w:jc w:val="left"/>
              <w:rPr>
                <w:bCs/>
                <w:sz w:val="20"/>
                <w:szCs w:val="20"/>
              </w:rPr>
            </w:pPr>
            <w:r w:rsidRPr="00AD2C8F">
              <w:rPr>
                <w:bCs/>
                <w:sz w:val="20"/>
                <w:szCs w:val="20"/>
              </w:rPr>
              <w:lastRenderedPageBreak/>
              <w:t>Jako najmniej efektywne działania dot. niskoemisyjnego transportu miejskiego wskazuje się te związane z budową infrastruktury drogowej. Realizacja projektów w tym zakresie pochłonęła łącznie około 75 mln zł, co pozwoliłoby na zakup około 75 niskoemisyjnych autobusów, które mogłyby w realny sposób wpłynąć na rozwój transportu zbiorowego w województwie</w:t>
            </w:r>
          </w:p>
        </w:tc>
        <w:tc>
          <w:tcPr>
            <w:tcW w:w="341" w:type="pct"/>
          </w:tcPr>
          <w:p w14:paraId="2551542F" w14:textId="77777777" w:rsidR="00750781" w:rsidRPr="00AD2C8F" w:rsidRDefault="00750781" w:rsidP="00750781">
            <w:pPr>
              <w:jc w:val="left"/>
              <w:rPr>
                <w:bCs/>
                <w:sz w:val="20"/>
                <w:szCs w:val="20"/>
              </w:rPr>
            </w:pPr>
            <w:r w:rsidRPr="00AD2C8F">
              <w:rPr>
                <w:bCs/>
                <w:sz w:val="20"/>
                <w:szCs w:val="20"/>
              </w:rPr>
              <w:lastRenderedPageBreak/>
              <w:t>4.1</w:t>
            </w:r>
          </w:p>
          <w:p w14:paraId="3C175EB9" w14:textId="77777777" w:rsidR="00750781" w:rsidRPr="00AD2C8F" w:rsidRDefault="00750781" w:rsidP="00750781">
            <w:pPr>
              <w:jc w:val="left"/>
              <w:rPr>
                <w:bCs/>
                <w:sz w:val="20"/>
                <w:szCs w:val="20"/>
              </w:rPr>
            </w:pPr>
            <w:r w:rsidRPr="00AD2C8F">
              <w:rPr>
                <w:bCs/>
                <w:sz w:val="20"/>
                <w:szCs w:val="20"/>
              </w:rPr>
              <w:t>4.2</w:t>
            </w:r>
          </w:p>
          <w:p w14:paraId="6799BC44" w14:textId="77777777" w:rsidR="00750781" w:rsidRPr="00AD2C8F" w:rsidRDefault="00750781" w:rsidP="00750781">
            <w:pPr>
              <w:jc w:val="left"/>
              <w:rPr>
                <w:bCs/>
                <w:sz w:val="20"/>
                <w:szCs w:val="20"/>
              </w:rPr>
            </w:pPr>
            <w:r w:rsidRPr="00AD2C8F">
              <w:rPr>
                <w:bCs/>
                <w:sz w:val="20"/>
                <w:szCs w:val="20"/>
              </w:rPr>
              <w:t>4.3</w:t>
            </w:r>
          </w:p>
          <w:p w14:paraId="12C41131" w14:textId="0FD86D79" w:rsidR="00047C2C" w:rsidRPr="00AD2C8F" w:rsidRDefault="00750781" w:rsidP="00750781">
            <w:pPr>
              <w:jc w:val="left"/>
              <w:rPr>
                <w:bCs/>
                <w:sz w:val="20"/>
                <w:szCs w:val="20"/>
              </w:rPr>
            </w:pPr>
            <w:r w:rsidRPr="00AD2C8F">
              <w:rPr>
                <w:bCs/>
                <w:sz w:val="20"/>
                <w:szCs w:val="20"/>
              </w:rPr>
              <w:t>4.4</w:t>
            </w:r>
          </w:p>
        </w:tc>
      </w:tr>
      <w:tr w:rsidR="00047C2C" w:rsidRPr="00AD2C8F" w14:paraId="6FA34464" w14:textId="06D4458B" w:rsidTr="009E1167">
        <w:trPr>
          <w:cantSplit w:val="0"/>
        </w:trPr>
        <w:tc>
          <w:tcPr>
            <w:tcW w:w="280" w:type="pct"/>
          </w:tcPr>
          <w:p w14:paraId="34880354" w14:textId="77777777" w:rsidR="00047C2C" w:rsidRPr="00AD2C8F" w:rsidRDefault="00047C2C" w:rsidP="0011389B">
            <w:pPr>
              <w:jc w:val="left"/>
              <w:rPr>
                <w:bCs/>
                <w:sz w:val="20"/>
                <w:szCs w:val="20"/>
              </w:rPr>
            </w:pPr>
            <w:r w:rsidRPr="00AD2C8F">
              <w:rPr>
                <w:bCs/>
                <w:sz w:val="20"/>
                <w:szCs w:val="20"/>
              </w:rPr>
              <w:t>6.</w:t>
            </w:r>
          </w:p>
        </w:tc>
        <w:tc>
          <w:tcPr>
            <w:tcW w:w="1390" w:type="pct"/>
          </w:tcPr>
          <w:p w14:paraId="6D2E439E" w14:textId="77777777" w:rsidR="00047C2C" w:rsidRPr="00AD2C8F" w:rsidRDefault="00047C2C" w:rsidP="0011389B">
            <w:pPr>
              <w:jc w:val="left"/>
              <w:rPr>
                <w:bCs/>
                <w:sz w:val="20"/>
                <w:szCs w:val="20"/>
              </w:rPr>
            </w:pPr>
            <w:r w:rsidRPr="00AD2C8F">
              <w:rPr>
                <w:bCs/>
                <w:sz w:val="20"/>
                <w:szCs w:val="20"/>
              </w:rPr>
              <w:t>Czy w wyniku zrealizowanych inwestycji nastąpiła/docelowo nastąpi poprawa jakości funkcjonowania systemu transportowego regionu oraz spójności terytorialnej województwa?</w:t>
            </w:r>
          </w:p>
        </w:tc>
        <w:tc>
          <w:tcPr>
            <w:tcW w:w="2989" w:type="pct"/>
          </w:tcPr>
          <w:p w14:paraId="4D5E863D" w14:textId="77777777" w:rsidR="00047C2C" w:rsidRPr="00AD2C8F" w:rsidRDefault="00C15ED5" w:rsidP="0011389B">
            <w:pPr>
              <w:jc w:val="left"/>
              <w:rPr>
                <w:bCs/>
                <w:sz w:val="20"/>
                <w:szCs w:val="20"/>
              </w:rPr>
            </w:pPr>
            <w:r w:rsidRPr="00AD2C8F">
              <w:rPr>
                <w:bCs/>
                <w:sz w:val="20"/>
                <w:szCs w:val="20"/>
              </w:rPr>
              <w:t xml:space="preserve">Projekty zrealizowane w ramach działania 5.1 zwiększają spójność terytorialną północnej i centralnej części województwa. W południowej części regionu realizowana była ograniczona liczba projektów. </w:t>
            </w:r>
          </w:p>
          <w:p w14:paraId="28852DDB" w14:textId="77777777" w:rsidR="007F45A0" w:rsidRPr="00AD2C8F" w:rsidRDefault="007F45A0" w:rsidP="0011389B">
            <w:pPr>
              <w:jc w:val="left"/>
              <w:rPr>
                <w:bCs/>
                <w:sz w:val="20"/>
                <w:szCs w:val="20"/>
              </w:rPr>
            </w:pPr>
            <w:r w:rsidRPr="00AD2C8F">
              <w:rPr>
                <w:bCs/>
                <w:sz w:val="20"/>
                <w:szCs w:val="20"/>
              </w:rPr>
              <w:t>W zakresie wsparcia terminali przeładunkowych aktualnie nie są zauważalne żadne efekty działań. Analiza materiału badawczego daje jednak spore podstawy, aby wnioskować, że w perspektywie czasu – po zakończeniu budowy terminala przeładunkowego w Knapach – takie efekty nastąpią. Budowa terminala może wpłynąć na zwiększenie różnic rozwojowych wewnątrz województwa. Rozpoczęcie pełnej działalności może sprawić, że w skali powiatu i gminy) rozwój osiągnie zdecydowanie większe tempo niż pozostałych obszarach województwa podkarpackiego.</w:t>
            </w:r>
          </w:p>
          <w:p w14:paraId="5EB0807E" w14:textId="77777777" w:rsidR="007F45A0" w:rsidRPr="00AD2C8F" w:rsidRDefault="009E1167" w:rsidP="0011389B">
            <w:pPr>
              <w:jc w:val="left"/>
              <w:rPr>
                <w:bCs/>
                <w:sz w:val="20"/>
                <w:szCs w:val="20"/>
              </w:rPr>
            </w:pPr>
            <w:r w:rsidRPr="00AD2C8F">
              <w:rPr>
                <w:bCs/>
                <w:sz w:val="20"/>
                <w:szCs w:val="20"/>
              </w:rPr>
              <w:t>W wyniku zrealizowanych inwestycji kolejowych docelowo nastąpi poprawa jakości funkcjonowania systemu transportowego regionu oraz spójności terytorialnej województwa. Realizowane inwestycje wpływają pozytywnie na możliwość przemieszczania się po województwie z wykorzystaniem transportu kolejowego. Aktualnie można zauważyć poprawę jakości funkcjonowania, wyrażoną większą liczbą par pociągów niż w 2014 roku. Na LK 106 obserwowany jest 350-procentowy przyrost realizowanych połączeń, zaś na niedokończonej jeszcze inwestycji LK 25 – uruchomionych zostało 5 par pociągów, lecz 8 lat temu ruch wcale tam się nie odbywał.</w:t>
            </w:r>
          </w:p>
          <w:p w14:paraId="08819E51" w14:textId="09B1723B" w:rsidR="009E1167" w:rsidRPr="00AD2C8F" w:rsidRDefault="009E1167" w:rsidP="0011389B">
            <w:pPr>
              <w:jc w:val="left"/>
              <w:rPr>
                <w:bCs/>
                <w:sz w:val="20"/>
                <w:szCs w:val="20"/>
              </w:rPr>
            </w:pPr>
            <w:r w:rsidRPr="00AD2C8F">
              <w:rPr>
                <w:bCs/>
                <w:sz w:val="20"/>
                <w:szCs w:val="20"/>
              </w:rPr>
              <w:t>W zakresie niskoemisyjnego transportu miejskiego realizacja inwestycji poprawiła jakość funkcjonowania systemu transportowego w regionie, lecz nie we wszystkich obszarach. Równolegle do podejmowanej interwencji na części obszarów dochodziło do ograniczania oferty przewozowej, co pociągnęło za sobą negatywne konsekwencje związane ze spadkiem liczby przewożonych osób.</w:t>
            </w:r>
          </w:p>
        </w:tc>
        <w:tc>
          <w:tcPr>
            <w:tcW w:w="341" w:type="pct"/>
          </w:tcPr>
          <w:p w14:paraId="44A0D411" w14:textId="77777777" w:rsidR="00750781" w:rsidRPr="00AD2C8F" w:rsidRDefault="00750781" w:rsidP="00750781">
            <w:pPr>
              <w:jc w:val="left"/>
              <w:rPr>
                <w:bCs/>
                <w:sz w:val="20"/>
                <w:szCs w:val="20"/>
              </w:rPr>
            </w:pPr>
            <w:r w:rsidRPr="00AD2C8F">
              <w:rPr>
                <w:bCs/>
                <w:sz w:val="20"/>
                <w:szCs w:val="20"/>
              </w:rPr>
              <w:t>5.1</w:t>
            </w:r>
          </w:p>
          <w:p w14:paraId="68F45D80" w14:textId="77777777" w:rsidR="00750781" w:rsidRPr="00AD2C8F" w:rsidRDefault="00750781" w:rsidP="00750781">
            <w:pPr>
              <w:jc w:val="left"/>
              <w:rPr>
                <w:bCs/>
                <w:sz w:val="20"/>
                <w:szCs w:val="20"/>
              </w:rPr>
            </w:pPr>
            <w:r w:rsidRPr="00AD2C8F">
              <w:rPr>
                <w:bCs/>
                <w:sz w:val="20"/>
                <w:szCs w:val="20"/>
              </w:rPr>
              <w:t>5.2</w:t>
            </w:r>
          </w:p>
          <w:p w14:paraId="01B3E2BA" w14:textId="77777777" w:rsidR="00750781" w:rsidRPr="00AD2C8F" w:rsidRDefault="00750781" w:rsidP="00750781">
            <w:pPr>
              <w:jc w:val="left"/>
              <w:rPr>
                <w:bCs/>
                <w:sz w:val="20"/>
                <w:szCs w:val="20"/>
              </w:rPr>
            </w:pPr>
            <w:r w:rsidRPr="00AD2C8F">
              <w:rPr>
                <w:bCs/>
                <w:sz w:val="20"/>
                <w:szCs w:val="20"/>
              </w:rPr>
              <w:t>5.3</w:t>
            </w:r>
          </w:p>
          <w:p w14:paraId="187C9694" w14:textId="6D0DAA45" w:rsidR="00047C2C" w:rsidRPr="00AD2C8F" w:rsidRDefault="00750781" w:rsidP="00750781">
            <w:pPr>
              <w:jc w:val="left"/>
              <w:rPr>
                <w:bCs/>
                <w:sz w:val="20"/>
                <w:szCs w:val="20"/>
              </w:rPr>
            </w:pPr>
            <w:r w:rsidRPr="00AD2C8F">
              <w:rPr>
                <w:bCs/>
                <w:sz w:val="20"/>
                <w:szCs w:val="20"/>
              </w:rPr>
              <w:t>5.4</w:t>
            </w:r>
          </w:p>
        </w:tc>
      </w:tr>
      <w:tr w:rsidR="00047C2C" w:rsidRPr="00AD2C8F" w14:paraId="13B57707" w14:textId="7EA95E44"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6583AEA8" w14:textId="77777777" w:rsidR="00047C2C" w:rsidRPr="00AD2C8F" w:rsidRDefault="00047C2C" w:rsidP="0011389B">
            <w:pPr>
              <w:jc w:val="left"/>
              <w:rPr>
                <w:bCs/>
                <w:sz w:val="20"/>
                <w:szCs w:val="20"/>
              </w:rPr>
            </w:pPr>
            <w:r w:rsidRPr="00AD2C8F">
              <w:rPr>
                <w:bCs/>
                <w:sz w:val="20"/>
                <w:szCs w:val="20"/>
              </w:rPr>
              <w:lastRenderedPageBreak/>
              <w:t>7.</w:t>
            </w:r>
          </w:p>
        </w:tc>
        <w:tc>
          <w:tcPr>
            <w:tcW w:w="1390" w:type="pct"/>
          </w:tcPr>
          <w:p w14:paraId="0D9F68FE" w14:textId="77777777" w:rsidR="00047C2C" w:rsidRPr="00AD2C8F" w:rsidRDefault="00047C2C" w:rsidP="0011389B">
            <w:pPr>
              <w:jc w:val="left"/>
              <w:rPr>
                <w:bCs/>
                <w:sz w:val="20"/>
                <w:szCs w:val="20"/>
              </w:rPr>
            </w:pPr>
            <w:r w:rsidRPr="00AD2C8F">
              <w:rPr>
                <w:bCs/>
                <w:sz w:val="20"/>
                <w:szCs w:val="20"/>
              </w:rPr>
              <w:t>Na jakie przeszkody natrafia realizacja projektów w zakresie: infrastruktury drogowej i kolejowej, infrastruktury terminali przeładunkowych oraz niskoemisyjnego transportu miejskiego?</w:t>
            </w:r>
          </w:p>
        </w:tc>
        <w:tc>
          <w:tcPr>
            <w:tcW w:w="2989" w:type="pct"/>
          </w:tcPr>
          <w:p w14:paraId="2AFD344E" w14:textId="4D25FB37" w:rsidR="00047C2C" w:rsidRPr="00AD2C8F" w:rsidRDefault="00C15ED5" w:rsidP="0011389B">
            <w:pPr>
              <w:jc w:val="left"/>
              <w:rPr>
                <w:bCs/>
                <w:sz w:val="20"/>
                <w:szCs w:val="20"/>
              </w:rPr>
            </w:pPr>
            <w:r w:rsidRPr="00AD2C8F">
              <w:rPr>
                <w:bCs/>
                <w:sz w:val="20"/>
                <w:szCs w:val="20"/>
              </w:rPr>
              <w:t>Główne problemy napotykane przez beneficjentów realizujących projekty w zakresie infrastruktury drogowej były związane z uzyskiwaniem niezbędnych pozwoleń, a  także z realizacją projektu zgodnie z zakładanym budżetem i harmonogramem.</w:t>
            </w:r>
          </w:p>
          <w:p w14:paraId="163974F5" w14:textId="77777777" w:rsidR="007F45A0" w:rsidRPr="00AD2C8F" w:rsidRDefault="007F45A0" w:rsidP="0011389B">
            <w:pPr>
              <w:jc w:val="left"/>
              <w:rPr>
                <w:bCs/>
                <w:sz w:val="20"/>
                <w:szCs w:val="20"/>
              </w:rPr>
            </w:pPr>
            <w:r w:rsidRPr="00AD2C8F">
              <w:rPr>
                <w:bCs/>
                <w:sz w:val="20"/>
                <w:szCs w:val="20"/>
              </w:rPr>
              <w:t>Największy problem utrudniający realizację inwestycji terminalowej wyniknął z potrzeby uzyskania niezbędnych zgód związanych ze wsparciem publicznym i konkurencyjnością. Wydawanie ich przez KE i UOKiK trwało blisko 3 lata i znacznie opóźniło realizację inwestycji, wpływając na wzrost kosztów oraz brak możliwości zarobkowania.</w:t>
            </w:r>
          </w:p>
          <w:p w14:paraId="6D4662C4" w14:textId="4523464C" w:rsidR="009E1167" w:rsidRPr="00AD2C8F" w:rsidRDefault="009E1167" w:rsidP="0011389B">
            <w:pPr>
              <w:jc w:val="left"/>
              <w:rPr>
                <w:bCs/>
                <w:sz w:val="20"/>
                <w:szCs w:val="20"/>
              </w:rPr>
            </w:pPr>
            <w:r w:rsidRPr="00AD2C8F">
              <w:rPr>
                <w:bCs/>
                <w:sz w:val="20"/>
                <w:szCs w:val="20"/>
              </w:rPr>
              <w:t>Główne problemy, które zostały zidentyfikowane podczas realizacji projektów kolejowych były związane z aspektami leżącymi po stronie dostawcy taboru (opóźnienie), wystąpieniem niespodziewanych warunków atmosferycznych czy wykonaniem dodatkowych prac konserwatorskich. Nie zauważono problemów leżących po stronie IZ RPO WP 2014-2020.</w:t>
            </w:r>
          </w:p>
          <w:p w14:paraId="3B99BB5B" w14:textId="6FA68B2C" w:rsidR="009E1167" w:rsidRPr="00AD2C8F" w:rsidRDefault="009E1167" w:rsidP="0011389B">
            <w:pPr>
              <w:jc w:val="left"/>
              <w:rPr>
                <w:bCs/>
                <w:sz w:val="20"/>
                <w:szCs w:val="20"/>
              </w:rPr>
            </w:pPr>
            <w:r w:rsidRPr="00AD2C8F">
              <w:rPr>
                <w:bCs/>
                <w:sz w:val="20"/>
                <w:szCs w:val="20"/>
              </w:rPr>
              <w:t>Wśród głównych problemów związanych z realizacją zadań w ramach działań 5.4 i 5.5 wskazuje się m.in. wydłużające się postępowania przetargowe. Zauważyć należy, że występują tereny niedoinwestowane – ma to związek z niewłączeniem wszystkich gmin danych MOF do projektów. Dodatkowo MOF Tarnobrzeg oraz MOF Jarosław-Przeworsk nie były beneficjentami żadnego projektu związanego z niskoemisyjnym transportem miejskim</w:t>
            </w:r>
          </w:p>
        </w:tc>
        <w:tc>
          <w:tcPr>
            <w:tcW w:w="341" w:type="pct"/>
          </w:tcPr>
          <w:p w14:paraId="1E3BEAAD" w14:textId="77777777" w:rsidR="00750781" w:rsidRPr="00AD2C8F" w:rsidRDefault="00750781" w:rsidP="00750781">
            <w:pPr>
              <w:jc w:val="left"/>
              <w:rPr>
                <w:bCs/>
                <w:sz w:val="20"/>
                <w:szCs w:val="20"/>
              </w:rPr>
            </w:pPr>
            <w:r w:rsidRPr="00AD2C8F">
              <w:rPr>
                <w:bCs/>
                <w:sz w:val="20"/>
                <w:szCs w:val="20"/>
              </w:rPr>
              <w:t>5.1</w:t>
            </w:r>
          </w:p>
          <w:p w14:paraId="7BA6B73A" w14:textId="77777777" w:rsidR="00750781" w:rsidRPr="00AD2C8F" w:rsidRDefault="00750781" w:rsidP="00750781">
            <w:pPr>
              <w:jc w:val="left"/>
              <w:rPr>
                <w:bCs/>
                <w:sz w:val="20"/>
                <w:szCs w:val="20"/>
              </w:rPr>
            </w:pPr>
            <w:r w:rsidRPr="00AD2C8F">
              <w:rPr>
                <w:bCs/>
                <w:sz w:val="20"/>
                <w:szCs w:val="20"/>
              </w:rPr>
              <w:t>5.2</w:t>
            </w:r>
          </w:p>
          <w:p w14:paraId="45D017BE" w14:textId="77777777" w:rsidR="00750781" w:rsidRPr="00AD2C8F" w:rsidRDefault="00750781" w:rsidP="00750781">
            <w:pPr>
              <w:jc w:val="left"/>
              <w:rPr>
                <w:bCs/>
                <w:sz w:val="20"/>
                <w:szCs w:val="20"/>
              </w:rPr>
            </w:pPr>
            <w:r w:rsidRPr="00AD2C8F">
              <w:rPr>
                <w:bCs/>
                <w:sz w:val="20"/>
                <w:szCs w:val="20"/>
              </w:rPr>
              <w:t>5.3</w:t>
            </w:r>
          </w:p>
          <w:p w14:paraId="429240E0" w14:textId="5B2BAE9C" w:rsidR="00047C2C" w:rsidRPr="00AD2C8F" w:rsidRDefault="00750781" w:rsidP="00750781">
            <w:pPr>
              <w:jc w:val="left"/>
              <w:rPr>
                <w:bCs/>
                <w:sz w:val="20"/>
                <w:szCs w:val="20"/>
              </w:rPr>
            </w:pPr>
            <w:r w:rsidRPr="00AD2C8F">
              <w:rPr>
                <w:bCs/>
                <w:sz w:val="20"/>
                <w:szCs w:val="20"/>
              </w:rPr>
              <w:t>5.4</w:t>
            </w:r>
          </w:p>
        </w:tc>
      </w:tr>
      <w:tr w:rsidR="00047C2C" w:rsidRPr="00AD2C8F" w14:paraId="0910B818" w14:textId="7FCFBA0C" w:rsidTr="009E1167">
        <w:trPr>
          <w:cantSplit w:val="0"/>
        </w:trPr>
        <w:tc>
          <w:tcPr>
            <w:tcW w:w="280" w:type="pct"/>
          </w:tcPr>
          <w:p w14:paraId="33A404FC" w14:textId="77777777" w:rsidR="00047C2C" w:rsidRPr="00AD2C8F" w:rsidRDefault="00047C2C" w:rsidP="0011389B">
            <w:pPr>
              <w:jc w:val="left"/>
              <w:rPr>
                <w:bCs/>
                <w:sz w:val="20"/>
                <w:szCs w:val="20"/>
              </w:rPr>
            </w:pPr>
            <w:r w:rsidRPr="00AD2C8F">
              <w:rPr>
                <w:bCs/>
                <w:sz w:val="20"/>
                <w:szCs w:val="20"/>
              </w:rPr>
              <w:t>8.</w:t>
            </w:r>
          </w:p>
        </w:tc>
        <w:tc>
          <w:tcPr>
            <w:tcW w:w="1390" w:type="pct"/>
          </w:tcPr>
          <w:p w14:paraId="1809C731" w14:textId="77777777" w:rsidR="00047C2C" w:rsidRPr="00AD2C8F" w:rsidRDefault="00047C2C" w:rsidP="0011389B">
            <w:pPr>
              <w:jc w:val="left"/>
              <w:rPr>
                <w:bCs/>
                <w:sz w:val="20"/>
                <w:szCs w:val="20"/>
              </w:rPr>
            </w:pPr>
            <w:r w:rsidRPr="00AD2C8F">
              <w:rPr>
                <w:bCs/>
                <w:sz w:val="20"/>
                <w:szCs w:val="20"/>
              </w:rPr>
              <w:t>Jakie są najbardziej efektywne kierunki inwestycji w zakresie wspierania efektywności systemu transportowego w regionie?</w:t>
            </w:r>
          </w:p>
        </w:tc>
        <w:tc>
          <w:tcPr>
            <w:tcW w:w="2989" w:type="pct"/>
          </w:tcPr>
          <w:p w14:paraId="51D54EB9" w14:textId="77777777" w:rsidR="00047C2C" w:rsidRPr="00AD2C8F" w:rsidRDefault="00C15ED5" w:rsidP="0011389B">
            <w:pPr>
              <w:jc w:val="left"/>
              <w:rPr>
                <w:bCs/>
                <w:sz w:val="20"/>
                <w:szCs w:val="20"/>
              </w:rPr>
            </w:pPr>
            <w:r w:rsidRPr="00AD2C8F">
              <w:rPr>
                <w:bCs/>
                <w:sz w:val="20"/>
                <w:szCs w:val="20"/>
              </w:rPr>
              <w:t>Najbardziej efektywnymi projektami w zakresie infrastruktury drogowej są te związane z poprawą dostępności do autostrady i drogi ekspresowej. Ważna była także budowa obwodnic i łącznic dróg</w:t>
            </w:r>
            <w:r w:rsidR="009E1167" w:rsidRPr="00AD2C8F">
              <w:rPr>
                <w:bCs/>
                <w:sz w:val="20"/>
                <w:szCs w:val="20"/>
              </w:rPr>
              <w:t xml:space="preserve">. </w:t>
            </w:r>
          </w:p>
          <w:p w14:paraId="3F2FB2C2" w14:textId="2C1F8F35" w:rsidR="009E1167" w:rsidRPr="00AD2C8F" w:rsidRDefault="009E1167" w:rsidP="0011389B">
            <w:pPr>
              <w:jc w:val="left"/>
              <w:rPr>
                <w:bCs/>
                <w:sz w:val="20"/>
                <w:szCs w:val="20"/>
              </w:rPr>
            </w:pPr>
            <w:r w:rsidRPr="00AD2C8F">
              <w:rPr>
                <w:bCs/>
                <w:sz w:val="20"/>
                <w:szCs w:val="20"/>
              </w:rPr>
              <w:t>Z założenia projekt dot. budowy  terminali przeładunkowych na stacji LHS Wola Baranowska powinny nieść za sobą wysoką efektywność, szczególnie w zakresie wspierania efektywności całego systemu transportowego w regionie. Głównym kierunkiem powinno być odciążenie transportu drogowego i kolejowego (w szczególności na LK 91) co powinno wpływać na poprawę płynności ruchu i bezpieczeństwo</w:t>
            </w:r>
          </w:p>
          <w:p w14:paraId="51C5AC2F" w14:textId="621D7D68" w:rsidR="009E1167" w:rsidRPr="00AD2C8F" w:rsidRDefault="009E1167" w:rsidP="0011389B">
            <w:pPr>
              <w:jc w:val="left"/>
              <w:rPr>
                <w:bCs/>
                <w:sz w:val="20"/>
                <w:szCs w:val="20"/>
              </w:rPr>
            </w:pPr>
            <w:r w:rsidRPr="00AD2C8F">
              <w:rPr>
                <w:bCs/>
                <w:sz w:val="20"/>
                <w:szCs w:val="20"/>
              </w:rPr>
              <w:t xml:space="preserve">Projektem, który w największym stopniu wpłynął na zaspokojenie potrzeb w zakresie projektów kolejowych, był z pewnością zakup nowego taboru – umożliwił on wykonywanie połączeń i </w:t>
            </w:r>
            <w:r w:rsidRPr="00AD2C8F">
              <w:rPr>
                <w:bCs/>
                <w:sz w:val="20"/>
                <w:szCs w:val="20"/>
              </w:rPr>
              <w:lastRenderedPageBreak/>
              <w:t>zwiększanie oferty przewozowej. Ma to odzwierciedlenie w wynikach przewozowych. Realizacja projektu na LK 106 pozwoliła na lepsze wykorzystanie linii kolejowej i zaspokojenie potrzeb transportowych mieszkańców poprzez zapewnienie połączenia między Rzeszowem a Jasłem. Projektu LK 25 pozwoli na prowadzenie ruchu na odcinku Mielec – Dębica i dalej w kierunku Padwi</w:t>
            </w:r>
          </w:p>
          <w:p w14:paraId="74BCC64F" w14:textId="684567FB" w:rsidR="009E1167" w:rsidRPr="00AD2C8F" w:rsidRDefault="009E1167" w:rsidP="0011389B">
            <w:pPr>
              <w:jc w:val="left"/>
              <w:rPr>
                <w:bCs/>
                <w:sz w:val="20"/>
                <w:szCs w:val="20"/>
              </w:rPr>
            </w:pPr>
            <w:r w:rsidRPr="00AD2C8F">
              <w:rPr>
                <w:bCs/>
                <w:sz w:val="20"/>
                <w:szCs w:val="20"/>
              </w:rPr>
              <w:t>Najbardziej efektywne działania dla niskoemisyjnego transportu miejskiego zauważane są w ROF, gdzie w wyniku interwencji, połączonej ze zwiększeniem pracy eksploatacyjnej (w związku z obsługą dodatkowych gmin) zauważalny jest wzrost liczby przewiezionych pasażerów w latach 2016-2022 o 45%. Najmniej efektywnymi działaniami, w których trudno doszukiwać związków z ograniczaniem emisyjności, są inwestycje związane z infrastrukturą drogową tj. budowa mostów i nowych dróg. Działania te nie przyniosą jednak tak wymiernych efektów jak rozbudowa oferty przewozowej, która byłaby możliwa dzięki zakupom większej ilości taboru autobusowego</w:t>
            </w:r>
          </w:p>
        </w:tc>
        <w:tc>
          <w:tcPr>
            <w:tcW w:w="341" w:type="pct"/>
          </w:tcPr>
          <w:p w14:paraId="0AB54459" w14:textId="77777777" w:rsidR="00047C2C" w:rsidRPr="00AD2C8F" w:rsidRDefault="00750781" w:rsidP="0011389B">
            <w:pPr>
              <w:jc w:val="left"/>
              <w:rPr>
                <w:bCs/>
                <w:sz w:val="20"/>
                <w:szCs w:val="20"/>
              </w:rPr>
            </w:pPr>
            <w:r w:rsidRPr="00AD2C8F">
              <w:rPr>
                <w:bCs/>
                <w:sz w:val="20"/>
                <w:szCs w:val="20"/>
              </w:rPr>
              <w:lastRenderedPageBreak/>
              <w:t>5.1</w:t>
            </w:r>
          </w:p>
          <w:p w14:paraId="5B547555" w14:textId="77777777" w:rsidR="00750781" w:rsidRPr="00AD2C8F" w:rsidRDefault="00750781" w:rsidP="0011389B">
            <w:pPr>
              <w:jc w:val="left"/>
              <w:rPr>
                <w:bCs/>
                <w:sz w:val="20"/>
                <w:szCs w:val="20"/>
              </w:rPr>
            </w:pPr>
            <w:r w:rsidRPr="00AD2C8F">
              <w:rPr>
                <w:bCs/>
                <w:sz w:val="20"/>
                <w:szCs w:val="20"/>
              </w:rPr>
              <w:t>5.2</w:t>
            </w:r>
          </w:p>
          <w:p w14:paraId="1B5B1A1D" w14:textId="77777777" w:rsidR="00750781" w:rsidRPr="00AD2C8F" w:rsidRDefault="00750781" w:rsidP="0011389B">
            <w:pPr>
              <w:jc w:val="left"/>
              <w:rPr>
                <w:bCs/>
                <w:sz w:val="20"/>
                <w:szCs w:val="20"/>
              </w:rPr>
            </w:pPr>
            <w:r w:rsidRPr="00AD2C8F">
              <w:rPr>
                <w:bCs/>
                <w:sz w:val="20"/>
                <w:szCs w:val="20"/>
              </w:rPr>
              <w:t>5.3</w:t>
            </w:r>
          </w:p>
          <w:p w14:paraId="5F21550B" w14:textId="1EDF9A95" w:rsidR="00750781" w:rsidRPr="00AD2C8F" w:rsidRDefault="00750781" w:rsidP="0011389B">
            <w:pPr>
              <w:jc w:val="left"/>
              <w:rPr>
                <w:bCs/>
                <w:sz w:val="20"/>
                <w:szCs w:val="20"/>
              </w:rPr>
            </w:pPr>
            <w:r w:rsidRPr="00AD2C8F">
              <w:rPr>
                <w:bCs/>
                <w:sz w:val="20"/>
                <w:szCs w:val="20"/>
              </w:rPr>
              <w:t>5.4</w:t>
            </w:r>
          </w:p>
        </w:tc>
      </w:tr>
      <w:tr w:rsidR="00047C2C" w:rsidRPr="00AD2C8F" w14:paraId="3EE95DD6" w14:textId="1CC87C69"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617319B4" w14:textId="77777777" w:rsidR="00047C2C" w:rsidRPr="00AD2C8F" w:rsidRDefault="00047C2C" w:rsidP="0011389B">
            <w:pPr>
              <w:jc w:val="left"/>
              <w:rPr>
                <w:bCs/>
                <w:sz w:val="20"/>
                <w:szCs w:val="20"/>
              </w:rPr>
            </w:pPr>
            <w:r w:rsidRPr="00AD2C8F">
              <w:rPr>
                <w:bCs/>
                <w:sz w:val="20"/>
                <w:szCs w:val="20"/>
              </w:rPr>
              <w:t>9.</w:t>
            </w:r>
          </w:p>
        </w:tc>
        <w:tc>
          <w:tcPr>
            <w:tcW w:w="1390" w:type="pct"/>
          </w:tcPr>
          <w:p w14:paraId="57989864" w14:textId="77777777" w:rsidR="00047C2C" w:rsidRPr="00AD2C8F" w:rsidRDefault="00047C2C" w:rsidP="0011389B">
            <w:pPr>
              <w:jc w:val="left"/>
              <w:rPr>
                <w:bCs/>
                <w:sz w:val="20"/>
                <w:szCs w:val="20"/>
              </w:rPr>
            </w:pPr>
            <w:r w:rsidRPr="00AD2C8F">
              <w:rPr>
                <w:bCs/>
                <w:sz w:val="20"/>
                <w:szCs w:val="20"/>
              </w:rPr>
              <w:t>Czy, a jeżeli tak to w jakim stopniu dofinansowane projekty są komplementarne? Jakich inwestycji brakuje, aby móc mówić o jeszcze większej komplementarności?</w:t>
            </w:r>
          </w:p>
        </w:tc>
        <w:tc>
          <w:tcPr>
            <w:tcW w:w="2989" w:type="pct"/>
          </w:tcPr>
          <w:p w14:paraId="39F8A675" w14:textId="5C0963B2" w:rsidR="00047C2C" w:rsidRPr="00AD2C8F" w:rsidRDefault="00750781" w:rsidP="0011389B">
            <w:pPr>
              <w:jc w:val="left"/>
              <w:rPr>
                <w:bCs/>
                <w:sz w:val="20"/>
                <w:szCs w:val="20"/>
              </w:rPr>
            </w:pPr>
            <w:r w:rsidRPr="00AD2C8F">
              <w:rPr>
                <w:bCs/>
                <w:sz w:val="20"/>
                <w:szCs w:val="20"/>
              </w:rPr>
              <w:t>Inwestycje dotyczące infrastruktury drogowej zrealizowane w ramach RPO WP 2014-2020 są w znacznym stopniu komplementarne do działań realizowanych zarówno we wcześniejszej perspektywie finansowej (2007-2013), jak i w ramach innych programów (np. POIiŚ, POPW) w perspektywie 2014-2020, a także są komplementarne względem inwestycji realizowanych ze środków krajowych (np. Rządowy Program Rozwoju Dróg). Uzupełniają się również z działaniami realizowanymi w ramach innych gałęzi.</w:t>
            </w:r>
            <w:r w:rsidRPr="00AD2C8F">
              <w:rPr>
                <w:sz w:val="20"/>
                <w:szCs w:val="20"/>
              </w:rPr>
              <w:t xml:space="preserve"> </w:t>
            </w:r>
            <w:r w:rsidRPr="00AD2C8F">
              <w:rPr>
                <w:bCs/>
                <w:sz w:val="20"/>
                <w:szCs w:val="20"/>
              </w:rPr>
              <w:t>Do terenów niedostatecznie doinwestowanych z pewnością należy rejon Bieszczad i Roztocza. Szczególna uwaga w przyszłej perspektywie finansowej powinna być skupiona na Bieszczadach, których rozwój gospodarczy może dzięki turystyce stanowić silny filar rozwoju całego regionu Podkarpacia.</w:t>
            </w:r>
          </w:p>
          <w:p w14:paraId="658113C8" w14:textId="78669A9D" w:rsidR="00750781" w:rsidRPr="00AD2C8F" w:rsidRDefault="00750781" w:rsidP="0011389B">
            <w:pPr>
              <w:jc w:val="left"/>
              <w:rPr>
                <w:bCs/>
                <w:sz w:val="20"/>
                <w:szCs w:val="20"/>
              </w:rPr>
            </w:pPr>
            <w:r w:rsidRPr="00AD2C8F">
              <w:rPr>
                <w:bCs/>
                <w:sz w:val="20"/>
                <w:szCs w:val="20"/>
              </w:rPr>
              <w:t>W ramach działania 5.2 realizowany był jeden projekt terminalowy. Trudno więc zauważyć komplementarność wewnętrzną i zewnętrzną. Projekt jest komplementarny do budowy nowych dróg, a także rewitalizacji LK 25, zapewniającej dostęp kolejowy do terminala przeładunkowego w Knapach. Powinna zostać rozważona możliwość włączenia do RPO WP 2014-2020 terminali przeładunkowych w Medyce-Żurawicy lub ewentualnie Rzeszowie-Jasionce.</w:t>
            </w:r>
          </w:p>
          <w:p w14:paraId="13467126" w14:textId="3D440879" w:rsidR="00750781" w:rsidRPr="00AD2C8F" w:rsidRDefault="00750781" w:rsidP="0011389B">
            <w:pPr>
              <w:jc w:val="left"/>
              <w:rPr>
                <w:bCs/>
                <w:sz w:val="20"/>
                <w:szCs w:val="20"/>
              </w:rPr>
            </w:pPr>
            <w:r w:rsidRPr="00AD2C8F">
              <w:rPr>
                <w:bCs/>
                <w:sz w:val="20"/>
                <w:szCs w:val="20"/>
              </w:rPr>
              <w:t xml:space="preserve">Dla inwestycji kolejowych zaobserwować można silną komplementarność – realizowane w ramach perspektywy 2014-2020 projekty dotyczące infrastruktury kolejowej silnie na siebie wewnętrznie </w:t>
            </w:r>
            <w:r w:rsidRPr="00AD2C8F">
              <w:rPr>
                <w:bCs/>
                <w:sz w:val="20"/>
                <w:szCs w:val="20"/>
              </w:rPr>
              <w:lastRenderedPageBreak/>
              <w:t>oddziałują. Szczególnie odnosi się to do projektu taborowego oraz modernizacji LK 106, po której porusza się zakupiony w ramach interwencji tabor. Realizowane projekty są komplementarne do inwestycji prowadzonych na liniach kolejowych w woj. podkarpackim w ramach zarówno perspektywy 2007-2013 jak i 2014-2020 dla szeregu programów w tym RPO WP, POIiŚ, POPW. W przyszłych perspektywach finansowych działania powinny być skierowane w kierunku Bieszczad, aby zapewnić dojazd nie tylko mieszkańcom, ale także turystom i tym samym stworzyć alternatywę dla niesatysfakcjonującego transportu drogowego.</w:t>
            </w:r>
          </w:p>
          <w:p w14:paraId="32E9658B" w14:textId="097ACA8A" w:rsidR="00750781" w:rsidRPr="00AD2C8F" w:rsidRDefault="00AD2C8F" w:rsidP="0011389B">
            <w:pPr>
              <w:jc w:val="left"/>
              <w:rPr>
                <w:bCs/>
                <w:sz w:val="20"/>
                <w:szCs w:val="20"/>
              </w:rPr>
            </w:pPr>
            <w:r w:rsidRPr="00AD2C8F">
              <w:rPr>
                <w:bCs/>
                <w:sz w:val="20"/>
                <w:szCs w:val="20"/>
              </w:rPr>
              <w:t>Realizacja projektów związanych z ograniczaniem emisji transportu miejskiego jest ściśle związana z realizowanymi we wcześniejszych latach projektami związanymi bezpośrednio lub pośrednio z działaniami 5.4 i 5.5. OP V RPO WP 2014-2020. Budowanie komplementarności wewnętrznej (i międzygałęziowej) było możliwe dzięki realizacji innych projektów w ramach RPO WP 2014-2020. Można do nich zaliczyć np. przebudowy dróg wojewódzkich (np. DW 886), umożliwiające prowadzenie transportu publicznego po zmodernizowanych drogach. W zakresie komplementarności międzygałęziowej można wskazać projekt realizowany w ROF, komplementarny z projektem rewitalizacji LK 106 na odcinku Boguchwała – Czudec. Odpowiednim kierunkiem działań powinno być aktualnie stworzenie warunków do powstawania związków gminnych i związków powiatowych, które zajęłyby się organizacją transportu publicznego poza największymi miastami. Przykład ZG PKS pokazuje, jak duże możliwości rozbudowy oferty transportowej i wzrostu liczby pasażerów daje takie rozwiązanie. Interwencja powinna zostać skierowana także na powiązanie wszystkich gmin w MOF-ach, które korzystały z pomocy w ramach RPO WP 2014-2020, a także do tych obszarów funkcjonalnych, które z pomocy wcale nie skorzystały  (np. MOF Tarnobrzega).</w:t>
            </w:r>
          </w:p>
        </w:tc>
        <w:tc>
          <w:tcPr>
            <w:tcW w:w="341" w:type="pct"/>
          </w:tcPr>
          <w:p w14:paraId="462ACCE6" w14:textId="77777777" w:rsidR="00047C2C" w:rsidRPr="00AD2C8F" w:rsidRDefault="00750781" w:rsidP="0011389B">
            <w:pPr>
              <w:jc w:val="left"/>
              <w:rPr>
                <w:bCs/>
                <w:sz w:val="20"/>
                <w:szCs w:val="20"/>
              </w:rPr>
            </w:pPr>
            <w:r w:rsidRPr="00AD2C8F">
              <w:rPr>
                <w:bCs/>
                <w:sz w:val="20"/>
                <w:szCs w:val="20"/>
              </w:rPr>
              <w:lastRenderedPageBreak/>
              <w:t>6.1.1</w:t>
            </w:r>
          </w:p>
          <w:p w14:paraId="2D8A9C28" w14:textId="77777777" w:rsidR="00750781" w:rsidRPr="00AD2C8F" w:rsidRDefault="00750781" w:rsidP="0011389B">
            <w:pPr>
              <w:jc w:val="left"/>
              <w:rPr>
                <w:bCs/>
                <w:sz w:val="20"/>
                <w:szCs w:val="20"/>
              </w:rPr>
            </w:pPr>
            <w:r w:rsidRPr="00AD2C8F">
              <w:rPr>
                <w:bCs/>
                <w:sz w:val="20"/>
                <w:szCs w:val="20"/>
              </w:rPr>
              <w:t>6.2.1</w:t>
            </w:r>
          </w:p>
          <w:p w14:paraId="1C2E265A" w14:textId="77777777" w:rsidR="00750781" w:rsidRPr="00AD2C8F" w:rsidRDefault="00750781" w:rsidP="0011389B">
            <w:pPr>
              <w:jc w:val="left"/>
              <w:rPr>
                <w:bCs/>
                <w:sz w:val="20"/>
                <w:szCs w:val="20"/>
              </w:rPr>
            </w:pPr>
            <w:r w:rsidRPr="00AD2C8F">
              <w:rPr>
                <w:bCs/>
                <w:sz w:val="20"/>
                <w:szCs w:val="20"/>
              </w:rPr>
              <w:t>6.3.1</w:t>
            </w:r>
          </w:p>
          <w:p w14:paraId="525993D2" w14:textId="1F684006" w:rsidR="00750781" w:rsidRPr="00AD2C8F" w:rsidRDefault="00750781" w:rsidP="0011389B">
            <w:pPr>
              <w:jc w:val="left"/>
              <w:rPr>
                <w:bCs/>
                <w:sz w:val="20"/>
                <w:szCs w:val="20"/>
              </w:rPr>
            </w:pPr>
            <w:r w:rsidRPr="00AD2C8F">
              <w:rPr>
                <w:bCs/>
                <w:sz w:val="20"/>
                <w:szCs w:val="20"/>
              </w:rPr>
              <w:t>6.4.1</w:t>
            </w:r>
          </w:p>
        </w:tc>
      </w:tr>
      <w:tr w:rsidR="00047C2C" w:rsidRPr="00AD2C8F" w14:paraId="20491EA8" w14:textId="5188CAA9" w:rsidTr="009E1167">
        <w:trPr>
          <w:cantSplit w:val="0"/>
        </w:trPr>
        <w:tc>
          <w:tcPr>
            <w:tcW w:w="280" w:type="pct"/>
          </w:tcPr>
          <w:p w14:paraId="19C1BA81" w14:textId="77777777" w:rsidR="00047C2C" w:rsidRPr="00AD2C8F" w:rsidRDefault="00047C2C" w:rsidP="0011389B">
            <w:pPr>
              <w:jc w:val="left"/>
              <w:rPr>
                <w:bCs/>
                <w:sz w:val="20"/>
                <w:szCs w:val="20"/>
              </w:rPr>
            </w:pPr>
            <w:r w:rsidRPr="00AD2C8F">
              <w:rPr>
                <w:bCs/>
                <w:sz w:val="20"/>
                <w:szCs w:val="20"/>
              </w:rPr>
              <w:t>10.</w:t>
            </w:r>
          </w:p>
        </w:tc>
        <w:tc>
          <w:tcPr>
            <w:tcW w:w="1390" w:type="pct"/>
          </w:tcPr>
          <w:p w14:paraId="6022348E" w14:textId="77777777" w:rsidR="00047C2C" w:rsidRPr="00AD2C8F" w:rsidRDefault="00047C2C" w:rsidP="0011389B">
            <w:pPr>
              <w:jc w:val="left"/>
              <w:rPr>
                <w:bCs/>
                <w:sz w:val="20"/>
                <w:szCs w:val="20"/>
              </w:rPr>
            </w:pPr>
            <w:r w:rsidRPr="00AD2C8F">
              <w:rPr>
                <w:bCs/>
                <w:sz w:val="20"/>
                <w:szCs w:val="20"/>
              </w:rPr>
              <w:t>Jaka jest spodziewana trwałość (skala i zakres) wspartych inwestycji pod względem organizacyjnym, technicznym i finansowym?</w:t>
            </w:r>
          </w:p>
        </w:tc>
        <w:tc>
          <w:tcPr>
            <w:tcW w:w="2989" w:type="pct"/>
          </w:tcPr>
          <w:p w14:paraId="7D338812" w14:textId="77777777" w:rsidR="00047C2C" w:rsidRPr="00AD2C8F" w:rsidRDefault="00C15ED5" w:rsidP="0011389B">
            <w:pPr>
              <w:jc w:val="left"/>
              <w:rPr>
                <w:bCs/>
                <w:sz w:val="20"/>
                <w:szCs w:val="20"/>
              </w:rPr>
            </w:pPr>
            <w:r w:rsidRPr="00AD2C8F">
              <w:rPr>
                <w:bCs/>
                <w:sz w:val="20"/>
                <w:szCs w:val="20"/>
              </w:rPr>
              <w:t>Dla działania 5.1 spodziewana jest wysoka trwałość projektów pod kątem organizacyjnym, technicznym i finansowym. Beneficjentami projektu są samorządy lokalne oraz Podkarpacki Zarząd Dróg Wojewódzkich. Utrzymanie i zarządzanie drogami należy do zadań własnych jednostek. Zwraca się uwagę na wysoką trwałość techniczną zrealizowanych projektów infrastrukturalnych.</w:t>
            </w:r>
          </w:p>
          <w:p w14:paraId="4FD29FC1" w14:textId="43236CF9" w:rsidR="007F45A0" w:rsidRPr="00AD2C8F" w:rsidRDefault="007F45A0" w:rsidP="0011389B">
            <w:pPr>
              <w:jc w:val="left"/>
              <w:rPr>
                <w:bCs/>
                <w:sz w:val="20"/>
                <w:szCs w:val="20"/>
              </w:rPr>
            </w:pPr>
            <w:r w:rsidRPr="00AD2C8F">
              <w:rPr>
                <w:bCs/>
                <w:sz w:val="20"/>
                <w:szCs w:val="20"/>
              </w:rPr>
              <w:lastRenderedPageBreak/>
              <w:t>Spodziewana jest wysoka trwałość projektu terminalowego. Beneficjent jest nastawiony na osiąganie zysków i posiada doświadczenie w branży. Ważne jest też to, że linia LHS od lat notuje wzrosty ilości przewożonych ładunków, a więc nie ma zagrożeń dla funkcjonowania terminala.</w:t>
            </w:r>
          </w:p>
          <w:p w14:paraId="41186FAA" w14:textId="005C3F37" w:rsidR="009E1167" w:rsidRPr="00AD2C8F" w:rsidRDefault="009E1167" w:rsidP="0011389B">
            <w:pPr>
              <w:jc w:val="left"/>
              <w:rPr>
                <w:bCs/>
                <w:sz w:val="20"/>
                <w:szCs w:val="20"/>
              </w:rPr>
            </w:pPr>
            <w:r w:rsidRPr="00AD2C8F">
              <w:rPr>
                <w:bCs/>
                <w:sz w:val="20"/>
                <w:szCs w:val="20"/>
              </w:rPr>
              <w:t>W zakresie trwałości projektów należy zwrócić uwagę, że dla działania 5.2 beneficjentami są spółki skarbu państwa oraz jednostki samorządu terytorialnego. Gwarantują one wysoką trwałość projektu pod kątem organizacyjnym oraz ekonomicznym. Bieżące naprawy i przeglądy zapewniają trwałość techniczną.</w:t>
            </w:r>
          </w:p>
          <w:p w14:paraId="4B94A34A" w14:textId="7E1B0818" w:rsidR="007F45A0" w:rsidRPr="00AD2C8F" w:rsidRDefault="009E1167" w:rsidP="0011389B">
            <w:pPr>
              <w:jc w:val="left"/>
              <w:rPr>
                <w:bCs/>
                <w:sz w:val="20"/>
                <w:szCs w:val="20"/>
              </w:rPr>
            </w:pPr>
            <w:r w:rsidRPr="00AD2C8F">
              <w:rPr>
                <w:bCs/>
                <w:sz w:val="20"/>
                <w:szCs w:val="20"/>
              </w:rPr>
              <w:t>W przypadku projektów związanych z transportem niskoemisyjnym nie zauważa się obaw o zachowanie trwałości. Realizowane były przez JST (lub ich związki), co zapewnia trwałość organizacyjną i ekonomiczną. W zakresie trwałości technicznej zagrożeniem mogą być wypadki, którym ulegać może tabor autobusowy.</w:t>
            </w:r>
          </w:p>
        </w:tc>
        <w:tc>
          <w:tcPr>
            <w:tcW w:w="341" w:type="pct"/>
          </w:tcPr>
          <w:p w14:paraId="5F9688B4" w14:textId="77777777" w:rsidR="00750781" w:rsidRPr="00AD2C8F" w:rsidRDefault="00750781" w:rsidP="00750781">
            <w:pPr>
              <w:jc w:val="left"/>
              <w:rPr>
                <w:bCs/>
                <w:sz w:val="20"/>
                <w:szCs w:val="20"/>
              </w:rPr>
            </w:pPr>
            <w:r w:rsidRPr="00AD2C8F">
              <w:rPr>
                <w:bCs/>
                <w:sz w:val="20"/>
                <w:szCs w:val="20"/>
              </w:rPr>
              <w:lastRenderedPageBreak/>
              <w:t>5.1</w:t>
            </w:r>
          </w:p>
          <w:p w14:paraId="2D075036" w14:textId="77777777" w:rsidR="00750781" w:rsidRPr="00AD2C8F" w:rsidRDefault="00750781" w:rsidP="00750781">
            <w:pPr>
              <w:jc w:val="left"/>
              <w:rPr>
                <w:bCs/>
                <w:sz w:val="20"/>
                <w:szCs w:val="20"/>
              </w:rPr>
            </w:pPr>
            <w:r w:rsidRPr="00AD2C8F">
              <w:rPr>
                <w:bCs/>
                <w:sz w:val="20"/>
                <w:szCs w:val="20"/>
              </w:rPr>
              <w:t>5.2</w:t>
            </w:r>
          </w:p>
          <w:p w14:paraId="0C9CF3E6" w14:textId="77777777" w:rsidR="00750781" w:rsidRPr="00AD2C8F" w:rsidRDefault="00750781" w:rsidP="00750781">
            <w:pPr>
              <w:jc w:val="left"/>
              <w:rPr>
                <w:bCs/>
                <w:sz w:val="20"/>
                <w:szCs w:val="20"/>
              </w:rPr>
            </w:pPr>
            <w:r w:rsidRPr="00AD2C8F">
              <w:rPr>
                <w:bCs/>
                <w:sz w:val="20"/>
                <w:szCs w:val="20"/>
              </w:rPr>
              <w:t>5.3</w:t>
            </w:r>
          </w:p>
          <w:p w14:paraId="07D39A67" w14:textId="7C456E95" w:rsidR="00047C2C" w:rsidRPr="00AD2C8F" w:rsidRDefault="00750781" w:rsidP="00750781">
            <w:pPr>
              <w:jc w:val="left"/>
              <w:rPr>
                <w:bCs/>
                <w:sz w:val="20"/>
                <w:szCs w:val="20"/>
              </w:rPr>
            </w:pPr>
            <w:r w:rsidRPr="00AD2C8F">
              <w:rPr>
                <w:bCs/>
                <w:sz w:val="20"/>
                <w:szCs w:val="20"/>
              </w:rPr>
              <w:t>5.4</w:t>
            </w:r>
          </w:p>
        </w:tc>
      </w:tr>
      <w:tr w:rsidR="00047C2C" w:rsidRPr="00AD2C8F" w14:paraId="320FC410" w14:textId="5BD70F33"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3029E587" w14:textId="77777777" w:rsidR="00047C2C" w:rsidRPr="00AD2C8F" w:rsidRDefault="00047C2C" w:rsidP="0011389B">
            <w:pPr>
              <w:jc w:val="left"/>
              <w:rPr>
                <w:bCs/>
                <w:sz w:val="20"/>
                <w:szCs w:val="20"/>
              </w:rPr>
            </w:pPr>
            <w:r w:rsidRPr="00AD2C8F">
              <w:rPr>
                <w:bCs/>
                <w:sz w:val="20"/>
                <w:szCs w:val="20"/>
              </w:rPr>
              <w:t>11.</w:t>
            </w:r>
          </w:p>
        </w:tc>
        <w:tc>
          <w:tcPr>
            <w:tcW w:w="1390" w:type="pct"/>
          </w:tcPr>
          <w:p w14:paraId="25922671" w14:textId="77777777" w:rsidR="00047C2C" w:rsidRPr="00AD2C8F" w:rsidRDefault="00047C2C" w:rsidP="0011389B">
            <w:pPr>
              <w:jc w:val="left"/>
              <w:rPr>
                <w:bCs/>
                <w:sz w:val="20"/>
                <w:szCs w:val="20"/>
              </w:rPr>
            </w:pPr>
            <w:r w:rsidRPr="00AD2C8F">
              <w:rPr>
                <w:bCs/>
                <w:sz w:val="20"/>
                <w:szCs w:val="20"/>
              </w:rPr>
              <w:t>W jaki sposób zapewnione jest wypełnienie w projektach zasad horyzontalnych, szczególnie w zakresie zasady zrównoważonego rozwoju?</w:t>
            </w:r>
          </w:p>
        </w:tc>
        <w:tc>
          <w:tcPr>
            <w:tcW w:w="2989" w:type="pct"/>
          </w:tcPr>
          <w:p w14:paraId="168BA833" w14:textId="789A71CE" w:rsidR="00047C2C" w:rsidRPr="00AD2C8F" w:rsidRDefault="00C15ED5" w:rsidP="0011389B">
            <w:pPr>
              <w:jc w:val="left"/>
              <w:rPr>
                <w:bCs/>
                <w:sz w:val="20"/>
                <w:szCs w:val="20"/>
              </w:rPr>
            </w:pPr>
            <w:r w:rsidRPr="00AD2C8F">
              <w:rPr>
                <w:bCs/>
                <w:sz w:val="20"/>
                <w:szCs w:val="20"/>
              </w:rPr>
              <w:t xml:space="preserve">Projekty drogowe wpisują się w realizację zasad horyzontalnych, w tym zasady zrównoważonego rozwoju, ograniczając negatywny wpływ transportu na środowisko. Problematyczne bywają jednak kwestie dostosowania inwestycji do potrzeb osób z niepełnosprawnościami. </w:t>
            </w:r>
            <w:r w:rsidR="009965F8">
              <w:rPr>
                <w:bCs/>
                <w:sz w:val="20"/>
                <w:szCs w:val="20"/>
              </w:rPr>
              <w:t>Rekomenduje się stworzenie katalogu dobrych praktyk, w celu ich stosowania w projektach przyszłej perspektywy finansowej.</w:t>
            </w:r>
          </w:p>
          <w:p w14:paraId="14612A70" w14:textId="77777777" w:rsidR="007F45A0" w:rsidRPr="00AD2C8F" w:rsidRDefault="007F45A0" w:rsidP="0011389B">
            <w:pPr>
              <w:jc w:val="left"/>
              <w:rPr>
                <w:bCs/>
                <w:sz w:val="20"/>
                <w:szCs w:val="20"/>
              </w:rPr>
            </w:pPr>
            <w:r w:rsidRPr="00AD2C8F">
              <w:rPr>
                <w:bCs/>
                <w:sz w:val="20"/>
                <w:szCs w:val="20"/>
              </w:rPr>
              <w:t>Projekt dot. terminala przeładunkowego wpisuje się w realizację zasad zrównoważonego rozwoju . Wskazuje się na promowanie korzystania z transportu multimodalnego, co jest zgodne z linią KE.</w:t>
            </w:r>
          </w:p>
          <w:p w14:paraId="57080BFE" w14:textId="77777777" w:rsidR="009E1167" w:rsidRPr="00AD2C8F" w:rsidRDefault="009E1167" w:rsidP="0011389B">
            <w:pPr>
              <w:jc w:val="left"/>
              <w:rPr>
                <w:bCs/>
                <w:sz w:val="20"/>
                <w:szCs w:val="20"/>
              </w:rPr>
            </w:pPr>
            <w:r w:rsidRPr="00AD2C8F">
              <w:rPr>
                <w:bCs/>
                <w:sz w:val="20"/>
                <w:szCs w:val="20"/>
              </w:rPr>
              <w:t>Ukończone projekty kolejowe wpisują się w zasady horyzontalne. W zakresie zgodności projektu z polityką równych szans, zakupiony tabor dostępny jest dla wszystkich osób zainteresowanych podróżowaniem transportem zbiorowym. Ponadto w nowym taborze zaimplementowano rozwiązania ułatwiające korzystanie z transportu zbiorowego osobom niepełnosprawnym i o ograniczonej mobilności, co dodatkowo eliminować będzie bariery w podróżowaniu i wyrównywać szanse tej grupy społecznej.</w:t>
            </w:r>
          </w:p>
          <w:p w14:paraId="2A664FCA" w14:textId="580CF182" w:rsidR="009E1167" w:rsidRPr="00AD2C8F" w:rsidRDefault="009E1167" w:rsidP="0011389B">
            <w:pPr>
              <w:jc w:val="left"/>
              <w:rPr>
                <w:bCs/>
                <w:sz w:val="20"/>
                <w:szCs w:val="20"/>
              </w:rPr>
            </w:pPr>
            <w:r w:rsidRPr="00AD2C8F">
              <w:rPr>
                <w:bCs/>
                <w:sz w:val="20"/>
                <w:szCs w:val="20"/>
              </w:rPr>
              <w:t xml:space="preserve">Realizacja projektów związanych z niskoemisyjnym transportem miejskim wpisuje się w zasady zrównoważonego rozwoju. Nie w pełni zostały spełnione potrzeby osób z niepełnosprawnościami. O </w:t>
            </w:r>
            <w:r w:rsidRPr="00AD2C8F">
              <w:rPr>
                <w:bCs/>
                <w:sz w:val="20"/>
                <w:szCs w:val="20"/>
              </w:rPr>
              <w:lastRenderedPageBreak/>
              <w:t xml:space="preserve">ile autobusy dostosowane są do przewozu osób na wózkach inwalidzkich, o tyle wybudowane węzły przesiadkowe czy wiaty autobusowe nie </w:t>
            </w:r>
            <w:r w:rsidR="009965F8">
              <w:rPr>
                <w:bCs/>
                <w:sz w:val="20"/>
                <w:szCs w:val="20"/>
              </w:rPr>
              <w:t>charakteryzują się wysokiej klasy rozwiązaniami skierowanymi do osób o ograniczonej mobilności.</w:t>
            </w:r>
          </w:p>
        </w:tc>
        <w:tc>
          <w:tcPr>
            <w:tcW w:w="341" w:type="pct"/>
          </w:tcPr>
          <w:p w14:paraId="384E12FB" w14:textId="77777777" w:rsidR="00750781" w:rsidRPr="00AD2C8F" w:rsidRDefault="00750781" w:rsidP="00750781">
            <w:pPr>
              <w:jc w:val="left"/>
              <w:rPr>
                <w:bCs/>
                <w:sz w:val="20"/>
                <w:szCs w:val="20"/>
              </w:rPr>
            </w:pPr>
            <w:r w:rsidRPr="00AD2C8F">
              <w:rPr>
                <w:bCs/>
                <w:sz w:val="20"/>
                <w:szCs w:val="20"/>
              </w:rPr>
              <w:lastRenderedPageBreak/>
              <w:t>5.1</w:t>
            </w:r>
          </w:p>
          <w:p w14:paraId="263B0B24" w14:textId="77777777" w:rsidR="00750781" w:rsidRPr="00AD2C8F" w:rsidRDefault="00750781" w:rsidP="00750781">
            <w:pPr>
              <w:jc w:val="left"/>
              <w:rPr>
                <w:bCs/>
                <w:sz w:val="20"/>
                <w:szCs w:val="20"/>
              </w:rPr>
            </w:pPr>
            <w:r w:rsidRPr="00AD2C8F">
              <w:rPr>
                <w:bCs/>
                <w:sz w:val="20"/>
                <w:szCs w:val="20"/>
              </w:rPr>
              <w:t>5.2</w:t>
            </w:r>
          </w:p>
          <w:p w14:paraId="42272365" w14:textId="77777777" w:rsidR="00750781" w:rsidRPr="00AD2C8F" w:rsidRDefault="00750781" w:rsidP="00750781">
            <w:pPr>
              <w:jc w:val="left"/>
              <w:rPr>
                <w:bCs/>
                <w:sz w:val="20"/>
                <w:szCs w:val="20"/>
              </w:rPr>
            </w:pPr>
            <w:r w:rsidRPr="00AD2C8F">
              <w:rPr>
                <w:bCs/>
                <w:sz w:val="20"/>
                <w:szCs w:val="20"/>
              </w:rPr>
              <w:t>5.3</w:t>
            </w:r>
          </w:p>
          <w:p w14:paraId="646EF0B1" w14:textId="72859FD2" w:rsidR="00047C2C" w:rsidRPr="00AD2C8F" w:rsidRDefault="00750781" w:rsidP="00750781">
            <w:pPr>
              <w:jc w:val="left"/>
              <w:rPr>
                <w:bCs/>
                <w:sz w:val="20"/>
                <w:szCs w:val="20"/>
              </w:rPr>
            </w:pPr>
            <w:r w:rsidRPr="00AD2C8F">
              <w:rPr>
                <w:bCs/>
                <w:sz w:val="20"/>
                <w:szCs w:val="20"/>
              </w:rPr>
              <w:t>5.4</w:t>
            </w:r>
          </w:p>
        </w:tc>
      </w:tr>
      <w:tr w:rsidR="00047C2C" w:rsidRPr="00AD2C8F" w14:paraId="066F1A6C" w14:textId="0F1495FD" w:rsidTr="009E1167">
        <w:trPr>
          <w:cantSplit w:val="0"/>
        </w:trPr>
        <w:tc>
          <w:tcPr>
            <w:tcW w:w="280" w:type="pct"/>
          </w:tcPr>
          <w:p w14:paraId="21E15ED3" w14:textId="77777777" w:rsidR="00047C2C" w:rsidRPr="00AD2C8F" w:rsidRDefault="00047C2C" w:rsidP="0011389B">
            <w:pPr>
              <w:jc w:val="left"/>
              <w:rPr>
                <w:bCs/>
                <w:sz w:val="20"/>
                <w:szCs w:val="20"/>
              </w:rPr>
            </w:pPr>
            <w:r w:rsidRPr="00AD2C8F">
              <w:rPr>
                <w:bCs/>
                <w:sz w:val="20"/>
                <w:szCs w:val="20"/>
              </w:rPr>
              <w:t>12.</w:t>
            </w:r>
          </w:p>
        </w:tc>
        <w:tc>
          <w:tcPr>
            <w:tcW w:w="1390" w:type="pct"/>
          </w:tcPr>
          <w:p w14:paraId="2F78029F" w14:textId="77777777" w:rsidR="00047C2C" w:rsidRPr="00AD2C8F" w:rsidRDefault="00047C2C" w:rsidP="0011389B">
            <w:pPr>
              <w:jc w:val="left"/>
              <w:rPr>
                <w:bCs/>
                <w:sz w:val="20"/>
                <w:szCs w:val="20"/>
              </w:rPr>
            </w:pPr>
            <w:r w:rsidRPr="00AD2C8F">
              <w:rPr>
                <w:bCs/>
                <w:sz w:val="20"/>
                <w:szCs w:val="20"/>
              </w:rPr>
              <w:t>Jakie rekomendacje można przedstawić dla okresu programowania 2021-2027 oraz kolejnych perspektyw finansowych w zakresie dalszego tworzenia spójnego systemu transportowego województwa?</w:t>
            </w:r>
          </w:p>
        </w:tc>
        <w:tc>
          <w:tcPr>
            <w:tcW w:w="2989" w:type="pct"/>
          </w:tcPr>
          <w:p w14:paraId="1C7BDE7C" w14:textId="0399E3DE" w:rsidR="00047C2C" w:rsidRPr="00AD2C8F" w:rsidRDefault="00AD2C8F" w:rsidP="0011389B">
            <w:pPr>
              <w:jc w:val="left"/>
              <w:rPr>
                <w:bCs/>
                <w:sz w:val="20"/>
                <w:szCs w:val="20"/>
              </w:rPr>
            </w:pPr>
            <w:r w:rsidRPr="00AD2C8F">
              <w:rPr>
                <w:bCs/>
                <w:sz w:val="20"/>
                <w:szCs w:val="20"/>
              </w:rPr>
              <w:t xml:space="preserve">Realizacja projektów drogowych powinna skupić się na Bieszczadach i Roztoczu. Kluczowe jest zapewnienie odpowiedniej infrastruktury na obszarach o ograniczonej dostępności transportowej do ośrodka wojewódzkiego. Powinno kłaść się także większy nacisk na bezpieczeństwo niechronionych użytkowników dróg – pieszych i rowerzystów. Konieczne jest budowanie przejść dla pieszych także poza obszarami zabudowanymi, np. w obrębie skrzyżowań. W przypadku budowy obwodnic kwalifikowalna powinna być kwestia dofinansowania chodników i dróg rowerowych biegnących wzdłuż starego śladu drogi (jeśli wzdłuż obwodnicy nie planuje się ich budowy). Niezbędne jest  także uspokajanie ruchu na odcinkach dróg zastępowanych obwodnicami. Część działań powinna być skierowana na zapewnienie dojazdów do stref przemysłowych. Z perspektywy rozwoju województwa ważny jest rozwój połączeń transgranicznych, w szczególności dojazdów do mniejszych przejść granicznych. W przypadku infrastruktury pieszej przy modernizowanych/budowanych odcinkach dróg wojewódzkich należy bezwzględnie przestrzegać </w:t>
            </w:r>
            <w:r w:rsidR="009965F8">
              <w:rPr>
                <w:bCs/>
                <w:sz w:val="20"/>
                <w:szCs w:val="20"/>
              </w:rPr>
              <w:t>aktualnych i innowacyjnych rozwiązań</w:t>
            </w:r>
            <w:r w:rsidR="009965F8" w:rsidRPr="00AD2C8F">
              <w:rPr>
                <w:bCs/>
                <w:sz w:val="20"/>
                <w:szCs w:val="20"/>
              </w:rPr>
              <w:t xml:space="preserve"> </w:t>
            </w:r>
            <w:r w:rsidRPr="00AD2C8F">
              <w:rPr>
                <w:bCs/>
                <w:sz w:val="20"/>
                <w:szCs w:val="20"/>
              </w:rPr>
              <w:t>uwzględniających potrzeby osób z niepełnosprawnościami. Dobrym kierunkiem jest realizacja działań skierowanych do PZDW w trybie pozakonkursowym. W mijającej perspektywie pozwoliło to na osiągnięcie wysokiej efektywności kosztowej, dzięki szybkiej realizacji projektów. W przypadku projektów realizowanych w trybie konkursowym wskazuje się, że dodatkowe punkty przy naborze projektów miejskich powinny być przyznawane za realne dostosowanie infrastruktury drogowej do potrzeb transportu publicznego (np. przez budowę buspasów).</w:t>
            </w:r>
          </w:p>
          <w:p w14:paraId="01FC965A" w14:textId="77777777" w:rsidR="00AD2C8F" w:rsidRPr="00AD2C8F" w:rsidRDefault="00AD2C8F" w:rsidP="0011389B">
            <w:pPr>
              <w:jc w:val="left"/>
              <w:rPr>
                <w:bCs/>
                <w:sz w:val="20"/>
                <w:szCs w:val="20"/>
              </w:rPr>
            </w:pPr>
            <w:r w:rsidRPr="00AD2C8F">
              <w:rPr>
                <w:bCs/>
                <w:sz w:val="20"/>
                <w:szCs w:val="20"/>
              </w:rPr>
              <w:t xml:space="preserve">Projekty związane z budową terminali kontenerowych skłaniają do refleksji, że w ramach przyszłych perspektyw powinno włączyć się mechanizm maksymalnego czasu na podpisanie umowy o dofinansowanie. Rozpatrzony w 2018 roku wniosek jednego z beneficjentów do czasu realizacji niniejszego badania nie doczekał się podpisania umowy. Może to wpłynąć na nieosiągnięcie kluczowych wskaźników realizacji RPO WP 2014-2020. Do beneficjentów powinno być kierowane </w:t>
            </w:r>
            <w:r w:rsidRPr="00AD2C8F">
              <w:rPr>
                <w:bCs/>
                <w:sz w:val="20"/>
                <w:szCs w:val="20"/>
              </w:rPr>
              <w:lastRenderedPageBreak/>
              <w:t>natomiast wsparcie przyspieszające procedury administracyjne. Może pozwolić to na znaczne ograniczenie kosztów.</w:t>
            </w:r>
          </w:p>
          <w:p w14:paraId="254F6713" w14:textId="77777777" w:rsidR="00AD2C8F" w:rsidRPr="00AD2C8F" w:rsidRDefault="00AD2C8F" w:rsidP="0011389B">
            <w:pPr>
              <w:jc w:val="left"/>
              <w:rPr>
                <w:bCs/>
                <w:sz w:val="20"/>
                <w:szCs w:val="20"/>
              </w:rPr>
            </w:pPr>
            <w:r w:rsidRPr="00AD2C8F">
              <w:rPr>
                <w:bCs/>
                <w:sz w:val="20"/>
                <w:szCs w:val="20"/>
              </w:rPr>
              <w:t>W przypadku projektów zakupu taboru kolejowego konieczne powinno być wykonanie niezbędnych analiz kosztów-korzyści, wykazujących, czy bardziej zasadne jest zakupienie ze środków unijnych taboru elektrycznego i wodorowego, czy biorąc pod uwagę specyfikę regionu – skupienie się na taborze hybrydowym (</w:t>
            </w:r>
            <w:proofErr w:type="spellStart"/>
            <w:r w:rsidRPr="00AD2C8F">
              <w:rPr>
                <w:bCs/>
                <w:sz w:val="20"/>
                <w:szCs w:val="20"/>
              </w:rPr>
              <w:t>spalinowo-elektrycznym</w:t>
            </w:r>
            <w:proofErr w:type="spellEnd"/>
            <w:r w:rsidRPr="00AD2C8F">
              <w:rPr>
                <w:bCs/>
                <w:sz w:val="20"/>
                <w:szCs w:val="20"/>
              </w:rPr>
              <w:t>) finansowanym ze środków własnych województwa. W związku z przeniesieniem realizacji inwestycji w infrastrukturę kolejową na poziom krajowy niezbędne może być zapewnienie dokumentacji projektowej dla kolejnych rewitalizacji linii kolejowych, co pozwoli na szybkie wdrażanie projektu do realizacji, gdy np. zwolni się pewna pula środków krajowych. Większa uwaga powinna być przykładana do rozwiązań cyfrowych. Rewitalizacja linii kolejowych powinna być obwarowana zapewnieniem systemów informacji pasażerskiej także na przystankach. Istnieje też obawa, że projekt dotyczący rewitalizacji kolei wąskotorowej nie przełoży się na zwiększanie dostępności kolejowej regionu. Warto rozważyć więc możliwość korzystania z niej przez osoby posiadające np. bilety miesięczne w ramach PKA, co pozwoliłoby na większe wykorzystanie linii stricte turystycznej.</w:t>
            </w:r>
          </w:p>
          <w:p w14:paraId="4DB72765" w14:textId="6FFC5AC8" w:rsidR="00AD2C8F" w:rsidRPr="00AD2C8F" w:rsidRDefault="00AD2C8F" w:rsidP="0011389B">
            <w:pPr>
              <w:jc w:val="left"/>
              <w:rPr>
                <w:bCs/>
                <w:sz w:val="20"/>
                <w:szCs w:val="20"/>
              </w:rPr>
            </w:pPr>
            <w:r w:rsidRPr="00AD2C8F">
              <w:rPr>
                <w:bCs/>
                <w:sz w:val="20"/>
                <w:szCs w:val="20"/>
              </w:rPr>
              <w:t xml:space="preserve">W zakresie transportu niskoemisyjnego należy skupić się na ciągłej rozbudowie oferty przewozowej, co przyczyni się do zwiększenia obszaru objętego transportem zbiorowym. Działaniem wspierającym rozwój transportu zbiorowego w województwie powinno być podjęcie przez Zarząd Województwa i UMWP projektu pomocowego w zakresie organizacji i finansowania związków powiatowo-gminnych. Ponadto działaniem znacznie zwiększającym efekty interwencji byłoby powołanie Regionalnego Zarządu Publicznego Transportu Zbiorowego. W ramach działań kluczowe są także inwestycje w tabor niskoemisyjny (dla połączeń regionalnych) i bezemisyjny (uwzględniając jednocześnie potrzeby związane z rozwojem infrastruktury ładowania). Rozwojowi transportu publicznego powinna towarzyszyć odpowiednia informacja pasażerska, adekwatna do środków przeznaczanych na przewozy, co zapewni jej dopasowanie do obszarów, na których wykonywanych jest więcej i mniej połączeń. Sposobem na ograniczenie wykluczenia transportowego może być wdrożenie w regionie DRT (transportu na żądanie). Umożliwia to obniżenie kosztu zapewnienia transportu publicznego, przy jednocześnie wysokiej jakości świadczonych usług. Projekty można realizować w ramach działań </w:t>
            </w:r>
            <w:r w:rsidRPr="00AD2C8F">
              <w:rPr>
                <w:bCs/>
                <w:sz w:val="20"/>
                <w:szCs w:val="20"/>
              </w:rPr>
              <w:lastRenderedPageBreak/>
              <w:t>społecznych. W ramach FEP i przyszłych działań należy unikać inwestycji w infrastrukturę drogową. Działania niskoemisyjne powinny być skupione wyłącznie na zapewnieniu niezbędnej infrastruktury przystankowej, a także dróg rowerowych i chodników. Kluczowa jest poprawa spójności dróg rowerowych w województwie, w szczególności w miastach, co pozwoli zwiększyć zainteresowanie mobilnością aktywną wśród mieszkańców.</w:t>
            </w:r>
          </w:p>
        </w:tc>
        <w:tc>
          <w:tcPr>
            <w:tcW w:w="341" w:type="pct"/>
          </w:tcPr>
          <w:p w14:paraId="51DA1893" w14:textId="77777777" w:rsidR="00047C2C" w:rsidRPr="00AD2C8F" w:rsidRDefault="00AD2C8F" w:rsidP="0011389B">
            <w:pPr>
              <w:jc w:val="left"/>
              <w:rPr>
                <w:bCs/>
                <w:sz w:val="20"/>
                <w:szCs w:val="20"/>
              </w:rPr>
            </w:pPr>
            <w:r w:rsidRPr="00AD2C8F">
              <w:rPr>
                <w:bCs/>
                <w:sz w:val="20"/>
                <w:szCs w:val="20"/>
              </w:rPr>
              <w:lastRenderedPageBreak/>
              <w:t>6.1.2</w:t>
            </w:r>
          </w:p>
          <w:p w14:paraId="433B5F7E" w14:textId="77777777" w:rsidR="00AD2C8F" w:rsidRPr="00AD2C8F" w:rsidRDefault="00AD2C8F" w:rsidP="0011389B">
            <w:pPr>
              <w:jc w:val="left"/>
              <w:rPr>
                <w:bCs/>
                <w:sz w:val="20"/>
                <w:szCs w:val="20"/>
              </w:rPr>
            </w:pPr>
            <w:r w:rsidRPr="00AD2C8F">
              <w:rPr>
                <w:bCs/>
                <w:sz w:val="20"/>
                <w:szCs w:val="20"/>
              </w:rPr>
              <w:t>6.2.2</w:t>
            </w:r>
          </w:p>
          <w:p w14:paraId="265F6EC8" w14:textId="77777777" w:rsidR="00AD2C8F" w:rsidRPr="00AD2C8F" w:rsidRDefault="00AD2C8F" w:rsidP="0011389B">
            <w:pPr>
              <w:jc w:val="left"/>
              <w:rPr>
                <w:bCs/>
                <w:sz w:val="20"/>
                <w:szCs w:val="20"/>
              </w:rPr>
            </w:pPr>
            <w:r w:rsidRPr="00AD2C8F">
              <w:rPr>
                <w:bCs/>
                <w:sz w:val="20"/>
                <w:szCs w:val="20"/>
              </w:rPr>
              <w:t>6.3.2</w:t>
            </w:r>
          </w:p>
          <w:p w14:paraId="19C3F1EE" w14:textId="77777777" w:rsidR="00AD2C8F" w:rsidRPr="00AD2C8F" w:rsidRDefault="00AD2C8F" w:rsidP="0011389B">
            <w:pPr>
              <w:jc w:val="left"/>
              <w:rPr>
                <w:bCs/>
                <w:sz w:val="20"/>
                <w:szCs w:val="20"/>
              </w:rPr>
            </w:pPr>
            <w:r w:rsidRPr="00AD2C8F">
              <w:rPr>
                <w:bCs/>
                <w:sz w:val="20"/>
                <w:szCs w:val="20"/>
              </w:rPr>
              <w:t>6.4.2</w:t>
            </w:r>
          </w:p>
          <w:p w14:paraId="23CABCAA" w14:textId="0D24F521" w:rsidR="00AD2C8F" w:rsidRPr="00AD2C8F" w:rsidRDefault="00AD2C8F" w:rsidP="0011389B">
            <w:pPr>
              <w:jc w:val="left"/>
              <w:rPr>
                <w:bCs/>
                <w:sz w:val="20"/>
                <w:szCs w:val="20"/>
              </w:rPr>
            </w:pPr>
            <w:r w:rsidRPr="00AD2C8F">
              <w:rPr>
                <w:bCs/>
                <w:sz w:val="20"/>
                <w:szCs w:val="20"/>
              </w:rPr>
              <w:t>7</w:t>
            </w:r>
          </w:p>
        </w:tc>
      </w:tr>
      <w:tr w:rsidR="00047C2C" w:rsidRPr="00AD2C8F" w14:paraId="1B2E660D" w14:textId="33B4909D"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6F5554B5" w14:textId="77777777" w:rsidR="00047C2C" w:rsidRPr="00AD2C8F" w:rsidRDefault="00047C2C" w:rsidP="0011389B">
            <w:pPr>
              <w:jc w:val="left"/>
              <w:rPr>
                <w:bCs/>
                <w:sz w:val="20"/>
                <w:szCs w:val="20"/>
              </w:rPr>
            </w:pPr>
            <w:r w:rsidRPr="00AD2C8F">
              <w:rPr>
                <w:bCs/>
                <w:sz w:val="20"/>
                <w:szCs w:val="20"/>
              </w:rPr>
              <w:lastRenderedPageBreak/>
              <w:t>13.</w:t>
            </w:r>
          </w:p>
        </w:tc>
        <w:tc>
          <w:tcPr>
            <w:tcW w:w="1390" w:type="pct"/>
          </w:tcPr>
          <w:p w14:paraId="01286DED" w14:textId="77777777" w:rsidR="00047C2C" w:rsidRPr="00AD2C8F" w:rsidRDefault="00047C2C" w:rsidP="0011389B">
            <w:pPr>
              <w:jc w:val="left"/>
              <w:rPr>
                <w:bCs/>
                <w:sz w:val="20"/>
                <w:szCs w:val="20"/>
              </w:rPr>
            </w:pPr>
            <w:r w:rsidRPr="00AD2C8F">
              <w:rPr>
                <w:bCs/>
                <w:sz w:val="20"/>
                <w:szCs w:val="20"/>
              </w:rPr>
              <w:t>Czy, a jeśli tak to w jakim stopniu w wyniku otrzymanego wsparcia nastąpiło/docelowo nastąpi zwiększenie mobilności regionalnej i poprawa dostępności transportowej (zewnętrznej i wewnętrznej) województwa w ruchu drogowym?</w:t>
            </w:r>
          </w:p>
        </w:tc>
        <w:tc>
          <w:tcPr>
            <w:tcW w:w="2989" w:type="pct"/>
          </w:tcPr>
          <w:p w14:paraId="2FB07DCE" w14:textId="77777777" w:rsidR="00C15ED5" w:rsidRPr="00AD2C8F" w:rsidRDefault="00C15ED5" w:rsidP="00C15ED5">
            <w:pPr>
              <w:jc w:val="left"/>
              <w:rPr>
                <w:bCs/>
                <w:sz w:val="20"/>
                <w:szCs w:val="20"/>
              </w:rPr>
            </w:pPr>
            <w:r w:rsidRPr="00AD2C8F">
              <w:rPr>
                <w:bCs/>
                <w:sz w:val="20"/>
                <w:szCs w:val="20"/>
              </w:rPr>
              <w:t>Na obszarach, przez które przebiegają autostrada A4 i droga ekspresowa S19, może nastąpić zwiększenie mobilności regionalnej i poprawa dostępności transportowej. Wzrost przepustowości może zostać ograniczony generalnym wzrostem natężenia ruchu na zmodernizowanych drogach. Na przestrzeni 5 lat na DW 861 odnotowano średniodobowy ruch większy o 104%, zaś na DW 865 większy aż o 163%. Spadki odnotowano m.in. na obwodnicy Strzyżowa (-3%), co ma związek z wykorzystywaniem przez kierowców starego przebiegu drogi wojewódzkiej. Realizacja inwestycji (w zakresie obwodnic) pozwoliła na skrócenie czasu podróży o około 67%, co w przypadku obwodnicy Tarnobrzega daje 12 minut oszczędności, a w przypadku obwodnicy Strzyżowa – 8 minut (w godzinach szczytu). Projekty wpłynęły na poprawę dostępności czasowej do Rzeszowa z obszarów, których dostępność była na akceptowalnym poziomie. W przypadku obszarów, gdzie dostępność czasowa była powyżej 90 minut, nie można odnotować zmian, ponieważ projekty nie były tam realizowane. Zauważalny jest także pozytywny wpływ inwestycji na kwestie związane z bezpieczeństwem. Wzrost ruchu nie pociąga za sobą wzrostu liczby wypadków, a w niektórych przypadkach można mówić wręcz o ich ograniczeniu. Budowa i modernizacja dróg przyczynia się także do ograniczenia kosztów eksploatacji pojazdów. W przypadku pojazdów osobowych oszczędności wahają się między 2 a 9%, zaś w przypadku pojazdów ciężkich (w tym autobusów) – między 10 a 19%.</w:t>
            </w:r>
          </w:p>
          <w:p w14:paraId="402D0BE7" w14:textId="20D719BC" w:rsidR="00047C2C" w:rsidRPr="00AD2C8F" w:rsidRDefault="00C15ED5" w:rsidP="00C15ED5">
            <w:pPr>
              <w:jc w:val="left"/>
              <w:rPr>
                <w:bCs/>
                <w:sz w:val="20"/>
                <w:szCs w:val="20"/>
              </w:rPr>
            </w:pPr>
            <w:r w:rsidRPr="00AD2C8F">
              <w:rPr>
                <w:bCs/>
                <w:sz w:val="20"/>
                <w:szCs w:val="20"/>
              </w:rPr>
              <w:t>Zauważane są także korzyści wynikające ze zwiększania efektywności systemu transportowego. Wskazuje się wśród nich m.in. skrócenie czasu przejazdu czy poprawę komfortu podróżowania, ale także zwiększenie atrakcyjności inwestycyjnej regionu i poprawę dostępności komunikacyjnej dla pracowników firm w obszarze oddziaływania inwestycji.</w:t>
            </w:r>
          </w:p>
        </w:tc>
        <w:tc>
          <w:tcPr>
            <w:tcW w:w="341" w:type="pct"/>
          </w:tcPr>
          <w:p w14:paraId="311C9C1F" w14:textId="0CADD690" w:rsidR="00047C2C" w:rsidRPr="00AD2C8F" w:rsidRDefault="00C15ED5" w:rsidP="0011389B">
            <w:pPr>
              <w:jc w:val="left"/>
              <w:rPr>
                <w:bCs/>
                <w:sz w:val="20"/>
                <w:szCs w:val="20"/>
              </w:rPr>
            </w:pPr>
            <w:r w:rsidRPr="00AD2C8F">
              <w:rPr>
                <w:bCs/>
                <w:sz w:val="20"/>
                <w:szCs w:val="20"/>
              </w:rPr>
              <w:t>5.1</w:t>
            </w:r>
          </w:p>
        </w:tc>
      </w:tr>
      <w:tr w:rsidR="00047C2C" w:rsidRPr="00AD2C8F" w14:paraId="1AAA3569" w14:textId="319E16DF" w:rsidTr="009E1167">
        <w:trPr>
          <w:cantSplit w:val="0"/>
        </w:trPr>
        <w:tc>
          <w:tcPr>
            <w:tcW w:w="280" w:type="pct"/>
          </w:tcPr>
          <w:p w14:paraId="5E0DBEFD" w14:textId="77777777" w:rsidR="00047C2C" w:rsidRPr="00AD2C8F" w:rsidRDefault="00047C2C" w:rsidP="0011389B">
            <w:pPr>
              <w:jc w:val="left"/>
              <w:rPr>
                <w:bCs/>
                <w:sz w:val="20"/>
                <w:szCs w:val="20"/>
              </w:rPr>
            </w:pPr>
            <w:r w:rsidRPr="00AD2C8F">
              <w:rPr>
                <w:bCs/>
                <w:sz w:val="20"/>
                <w:szCs w:val="20"/>
              </w:rPr>
              <w:lastRenderedPageBreak/>
              <w:t>14.</w:t>
            </w:r>
          </w:p>
        </w:tc>
        <w:tc>
          <w:tcPr>
            <w:tcW w:w="1390" w:type="pct"/>
          </w:tcPr>
          <w:p w14:paraId="4549402C" w14:textId="77777777" w:rsidR="00047C2C" w:rsidRPr="00AD2C8F" w:rsidRDefault="00047C2C" w:rsidP="0011389B">
            <w:pPr>
              <w:jc w:val="left"/>
              <w:rPr>
                <w:bCs/>
                <w:sz w:val="20"/>
                <w:szCs w:val="20"/>
              </w:rPr>
            </w:pPr>
            <w:r w:rsidRPr="00AD2C8F">
              <w:rPr>
                <w:bCs/>
                <w:sz w:val="20"/>
                <w:szCs w:val="20"/>
              </w:rPr>
              <w:t>Czy, a jeśli tak to w jakim stopniu, w wyniku planowanego wsparcia nastąpi wzrost wielkości przewozów towarowych z wykorzystaniem terminali przeładunkowych nie należących do sieci TEN-T?</w:t>
            </w:r>
          </w:p>
        </w:tc>
        <w:tc>
          <w:tcPr>
            <w:tcW w:w="2989" w:type="pct"/>
          </w:tcPr>
          <w:p w14:paraId="536636DF" w14:textId="77777777" w:rsidR="009E1167" w:rsidRPr="00AD2C8F" w:rsidRDefault="009E1167" w:rsidP="009E1167">
            <w:pPr>
              <w:jc w:val="left"/>
              <w:rPr>
                <w:bCs/>
                <w:sz w:val="20"/>
                <w:szCs w:val="20"/>
              </w:rPr>
            </w:pPr>
            <w:r w:rsidRPr="00AD2C8F">
              <w:rPr>
                <w:bCs/>
                <w:sz w:val="20"/>
                <w:szCs w:val="20"/>
              </w:rPr>
              <w:t xml:space="preserve">Zakłada się, że po realizacji projektu zdolności przeładunkowe terminala będą wynosiły 375 200 Mg. Biorąc pod uwagę tempo realizacji prac budowlanych, można zakładać, że realizacja projektu zostanie zakończona w 2023 roku i wkrótce przyczyni się do wzrost wielkości przewozów towarowych z wykorzystaniem terminali przeładunkowych nie należących do sieci TEN-T. </w:t>
            </w:r>
          </w:p>
          <w:p w14:paraId="7278ADA3" w14:textId="73B37EEE" w:rsidR="00047C2C" w:rsidRPr="00AD2C8F" w:rsidRDefault="00047C2C" w:rsidP="009E1167">
            <w:pPr>
              <w:jc w:val="left"/>
              <w:rPr>
                <w:bCs/>
                <w:sz w:val="20"/>
                <w:szCs w:val="20"/>
              </w:rPr>
            </w:pPr>
          </w:p>
        </w:tc>
        <w:tc>
          <w:tcPr>
            <w:tcW w:w="341" w:type="pct"/>
          </w:tcPr>
          <w:p w14:paraId="18E0390A" w14:textId="2C85BFF5" w:rsidR="00047C2C" w:rsidRPr="00AD2C8F" w:rsidRDefault="009E1167" w:rsidP="0011389B">
            <w:pPr>
              <w:jc w:val="left"/>
              <w:rPr>
                <w:bCs/>
                <w:sz w:val="20"/>
                <w:szCs w:val="20"/>
              </w:rPr>
            </w:pPr>
            <w:r w:rsidRPr="00AD2C8F">
              <w:rPr>
                <w:bCs/>
                <w:sz w:val="20"/>
                <w:szCs w:val="20"/>
              </w:rPr>
              <w:t>5.2</w:t>
            </w:r>
          </w:p>
        </w:tc>
      </w:tr>
      <w:tr w:rsidR="00047C2C" w:rsidRPr="00AD2C8F" w14:paraId="3F5B86BA" w14:textId="6CF8E7CE"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0ECFC5E7" w14:textId="77777777" w:rsidR="00047C2C" w:rsidRPr="00AD2C8F" w:rsidRDefault="00047C2C" w:rsidP="0011389B">
            <w:pPr>
              <w:jc w:val="left"/>
              <w:rPr>
                <w:bCs/>
                <w:sz w:val="20"/>
                <w:szCs w:val="20"/>
              </w:rPr>
            </w:pPr>
            <w:r w:rsidRPr="00AD2C8F">
              <w:rPr>
                <w:bCs/>
                <w:sz w:val="20"/>
                <w:szCs w:val="20"/>
              </w:rPr>
              <w:t>15.</w:t>
            </w:r>
          </w:p>
        </w:tc>
        <w:tc>
          <w:tcPr>
            <w:tcW w:w="1390" w:type="pct"/>
          </w:tcPr>
          <w:p w14:paraId="040A15AA" w14:textId="77777777" w:rsidR="00047C2C" w:rsidRPr="00AD2C8F" w:rsidRDefault="00047C2C" w:rsidP="0011389B">
            <w:pPr>
              <w:jc w:val="left"/>
              <w:rPr>
                <w:bCs/>
                <w:sz w:val="20"/>
                <w:szCs w:val="20"/>
              </w:rPr>
            </w:pPr>
            <w:r w:rsidRPr="00AD2C8F">
              <w:rPr>
                <w:bCs/>
                <w:sz w:val="20"/>
                <w:szCs w:val="20"/>
              </w:rPr>
              <w:t>Czy planowane wsparcie infrastruktury terminali przeładunkowych wpłynie na zwiększenie dostępności regionu sprzyjając działalności logistycznej, a tym samym prowadząc do rozwoju działalności gospodarczej w województwie?</w:t>
            </w:r>
          </w:p>
        </w:tc>
        <w:tc>
          <w:tcPr>
            <w:tcW w:w="2989" w:type="pct"/>
          </w:tcPr>
          <w:p w14:paraId="51B8F353" w14:textId="4819570A" w:rsidR="00047C2C" w:rsidRPr="00AD2C8F" w:rsidRDefault="009E1167" w:rsidP="0011389B">
            <w:pPr>
              <w:jc w:val="left"/>
              <w:rPr>
                <w:bCs/>
                <w:sz w:val="20"/>
                <w:szCs w:val="20"/>
              </w:rPr>
            </w:pPr>
            <w:r w:rsidRPr="00AD2C8F">
              <w:rPr>
                <w:bCs/>
                <w:sz w:val="20"/>
                <w:szCs w:val="20"/>
              </w:rPr>
              <w:t>Biorąc pod uwagę nastawienie beneficjenta na kreowanie popytu na nowe usługi, a także dane statystyczne, można wnioskować, że dynamika zarówno zatrudnienia w sektorze logistyki, jak i powstawania przedsiębiorstw będzie rosła.</w:t>
            </w:r>
          </w:p>
        </w:tc>
        <w:tc>
          <w:tcPr>
            <w:tcW w:w="341" w:type="pct"/>
          </w:tcPr>
          <w:p w14:paraId="23E1CC5D" w14:textId="48110077" w:rsidR="00047C2C" w:rsidRPr="00AD2C8F" w:rsidRDefault="009E1167" w:rsidP="0011389B">
            <w:pPr>
              <w:jc w:val="left"/>
              <w:rPr>
                <w:bCs/>
                <w:sz w:val="20"/>
                <w:szCs w:val="20"/>
              </w:rPr>
            </w:pPr>
            <w:r w:rsidRPr="00AD2C8F">
              <w:rPr>
                <w:bCs/>
                <w:sz w:val="20"/>
                <w:szCs w:val="20"/>
              </w:rPr>
              <w:t>5.2</w:t>
            </w:r>
          </w:p>
        </w:tc>
      </w:tr>
      <w:tr w:rsidR="00047C2C" w:rsidRPr="00AD2C8F" w14:paraId="43403FC9" w14:textId="2869CF72" w:rsidTr="009E1167">
        <w:trPr>
          <w:cantSplit w:val="0"/>
        </w:trPr>
        <w:tc>
          <w:tcPr>
            <w:tcW w:w="280" w:type="pct"/>
          </w:tcPr>
          <w:p w14:paraId="354C63AA" w14:textId="77777777" w:rsidR="00047C2C" w:rsidRPr="00AD2C8F" w:rsidRDefault="00047C2C" w:rsidP="0011389B">
            <w:pPr>
              <w:jc w:val="left"/>
              <w:rPr>
                <w:bCs/>
                <w:sz w:val="20"/>
                <w:szCs w:val="20"/>
              </w:rPr>
            </w:pPr>
            <w:r w:rsidRPr="00AD2C8F">
              <w:rPr>
                <w:bCs/>
                <w:sz w:val="20"/>
                <w:szCs w:val="20"/>
              </w:rPr>
              <w:t>16.</w:t>
            </w:r>
          </w:p>
        </w:tc>
        <w:tc>
          <w:tcPr>
            <w:tcW w:w="1390" w:type="pct"/>
          </w:tcPr>
          <w:p w14:paraId="41C094C8" w14:textId="77777777" w:rsidR="00047C2C" w:rsidRPr="00AD2C8F" w:rsidRDefault="00047C2C" w:rsidP="0011389B">
            <w:pPr>
              <w:jc w:val="left"/>
              <w:rPr>
                <w:bCs/>
                <w:sz w:val="20"/>
                <w:szCs w:val="20"/>
              </w:rPr>
            </w:pPr>
            <w:r w:rsidRPr="00AD2C8F">
              <w:rPr>
                <w:bCs/>
                <w:sz w:val="20"/>
                <w:szCs w:val="20"/>
              </w:rPr>
              <w:t>Czy, a jeśli tak to w jakim stopniu w wyniku otrzymanego wsparcia nastąpiło/docelowo nastąpi zwiększenie mobilności regionalnej i poprawa dostępności transportowej województwa w ruchu kolejowym?</w:t>
            </w:r>
          </w:p>
        </w:tc>
        <w:tc>
          <w:tcPr>
            <w:tcW w:w="2989" w:type="pct"/>
          </w:tcPr>
          <w:p w14:paraId="43021DDB" w14:textId="11140516" w:rsidR="00047C2C" w:rsidRPr="00AD2C8F" w:rsidRDefault="009E1167" w:rsidP="0011389B">
            <w:pPr>
              <w:jc w:val="left"/>
              <w:rPr>
                <w:bCs/>
                <w:sz w:val="20"/>
                <w:szCs w:val="20"/>
              </w:rPr>
            </w:pPr>
            <w:r w:rsidRPr="00AD2C8F">
              <w:rPr>
                <w:bCs/>
                <w:sz w:val="20"/>
                <w:szCs w:val="20"/>
              </w:rPr>
              <w:t>Zrealizowane projekty w znacznym stopniu przyczyniają się do wzmacniania kolejowej dostępności wewnętrznej i zewnętrznej regionu. W obecnej i poprzedniej perspektywie województwo było także beneficjentem projektów kolejowych realizowanych w ramach POIiŚ i POPW. Dlatego też można stwierdzić, że realizacja kolejnych inwestycji prowadzonych przez PKP PLK wzmocniła efekty wsparcia zarówno POPW, jak i POIiŚ. Analiza danych pozwoliła określić, że interwencja w LK 25 i LK 106 przyczyniła się w 2022 roku do 6% przyrostu udziału kolei w przewozach pasażerskich w województwie, zaś dwukrotne zwiększenie pracy eksploatacyjnej na LK 25 pozwoli osiągnąć 9% przyrostu.</w:t>
            </w:r>
          </w:p>
        </w:tc>
        <w:tc>
          <w:tcPr>
            <w:tcW w:w="341" w:type="pct"/>
          </w:tcPr>
          <w:p w14:paraId="7E482313" w14:textId="3E624219" w:rsidR="00047C2C" w:rsidRPr="00AD2C8F" w:rsidRDefault="009E1167" w:rsidP="0011389B">
            <w:pPr>
              <w:jc w:val="left"/>
              <w:rPr>
                <w:bCs/>
                <w:sz w:val="20"/>
                <w:szCs w:val="20"/>
              </w:rPr>
            </w:pPr>
            <w:r w:rsidRPr="00AD2C8F">
              <w:rPr>
                <w:bCs/>
                <w:sz w:val="20"/>
                <w:szCs w:val="20"/>
              </w:rPr>
              <w:t>5.3</w:t>
            </w:r>
          </w:p>
        </w:tc>
      </w:tr>
      <w:tr w:rsidR="00047C2C" w:rsidRPr="00AD2C8F" w14:paraId="69431511" w14:textId="307687DD"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12DBEB12" w14:textId="77777777" w:rsidR="00047C2C" w:rsidRPr="00AD2C8F" w:rsidRDefault="00047C2C" w:rsidP="0011389B">
            <w:pPr>
              <w:jc w:val="left"/>
              <w:rPr>
                <w:bCs/>
                <w:sz w:val="20"/>
                <w:szCs w:val="20"/>
              </w:rPr>
            </w:pPr>
            <w:r w:rsidRPr="00AD2C8F">
              <w:rPr>
                <w:bCs/>
                <w:sz w:val="20"/>
                <w:szCs w:val="20"/>
              </w:rPr>
              <w:t>17.</w:t>
            </w:r>
          </w:p>
        </w:tc>
        <w:tc>
          <w:tcPr>
            <w:tcW w:w="1390" w:type="pct"/>
          </w:tcPr>
          <w:p w14:paraId="3CBF906A" w14:textId="77777777" w:rsidR="00047C2C" w:rsidRPr="00AD2C8F" w:rsidRDefault="00047C2C" w:rsidP="0011389B">
            <w:pPr>
              <w:jc w:val="left"/>
              <w:rPr>
                <w:bCs/>
                <w:sz w:val="20"/>
                <w:szCs w:val="20"/>
              </w:rPr>
            </w:pPr>
            <w:r w:rsidRPr="00AD2C8F">
              <w:rPr>
                <w:bCs/>
                <w:sz w:val="20"/>
                <w:szCs w:val="20"/>
              </w:rPr>
              <w:t>Czy, a jeśli tak to w jakim stopniu w wyniku otrzymanego wsparcia nastąpiła/docelowo nastąpi poprawa stanu technicznego infrastruktury kolejowej oraz poprawa bezpieczeństwa, a także jakości i efektywności przewozów kolejowych?</w:t>
            </w:r>
          </w:p>
        </w:tc>
        <w:tc>
          <w:tcPr>
            <w:tcW w:w="2989" w:type="pct"/>
          </w:tcPr>
          <w:p w14:paraId="4CC98012" w14:textId="4813CB99" w:rsidR="00047C2C" w:rsidRPr="00AD2C8F" w:rsidRDefault="009E1167" w:rsidP="0011389B">
            <w:pPr>
              <w:jc w:val="left"/>
              <w:rPr>
                <w:bCs/>
                <w:sz w:val="20"/>
                <w:szCs w:val="20"/>
              </w:rPr>
            </w:pPr>
            <w:r w:rsidRPr="00AD2C8F">
              <w:rPr>
                <w:bCs/>
                <w:sz w:val="20"/>
                <w:szCs w:val="20"/>
              </w:rPr>
              <w:t>W wyniku otrzymanego wsparcia następuje znaczna poprawa stanu technicznego infrastruktury kolejowej oraz poprawa bezpieczeństwa. Działania te przełożą się na jakość i efektywność wykonywanych przewozów kolejowych. Należy jednak zwrócić uwagę, aby po pełnym zakończeniu projektu rewitalizacji LK 25 na odcinku Mielec – Dębica poszły działania w kierunku zwiększania oferty przewozowej</w:t>
            </w:r>
            <w:r w:rsidR="00314BE3">
              <w:rPr>
                <w:bCs/>
                <w:sz w:val="20"/>
                <w:szCs w:val="20"/>
              </w:rPr>
              <w:t>.</w:t>
            </w:r>
          </w:p>
        </w:tc>
        <w:tc>
          <w:tcPr>
            <w:tcW w:w="341" w:type="pct"/>
          </w:tcPr>
          <w:p w14:paraId="4E46FBC8" w14:textId="37E1874F" w:rsidR="00047C2C" w:rsidRPr="00AD2C8F" w:rsidRDefault="009E1167" w:rsidP="0011389B">
            <w:pPr>
              <w:jc w:val="left"/>
              <w:rPr>
                <w:bCs/>
                <w:sz w:val="20"/>
                <w:szCs w:val="20"/>
              </w:rPr>
            </w:pPr>
            <w:r w:rsidRPr="00AD2C8F">
              <w:rPr>
                <w:bCs/>
                <w:sz w:val="20"/>
                <w:szCs w:val="20"/>
              </w:rPr>
              <w:t>5.3</w:t>
            </w:r>
          </w:p>
        </w:tc>
      </w:tr>
      <w:tr w:rsidR="00047C2C" w:rsidRPr="00AD2C8F" w14:paraId="38545CA7" w14:textId="143600F9" w:rsidTr="009E1167">
        <w:trPr>
          <w:cantSplit w:val="0"/>
        </w:trPr>
        <w:tc>
          <w:tcPr>
            <w:tcW w:w="280" w:type="pct"/>
          </w:tcPr>
          <w:p w14:paraId="4D8C27E8" w14:textId="77777777" w:rsidR="00047C2C" w:rsidRPr="00AD2C8F" w:rsidRDefault="00047C2C" w:rsidP="0011389B">
            <w:pPr>
              <w:jc w:val="left"/>
              <w:rPr>
                <w:bCs/>
                <w:sz w:val="20"/>
                <w:szCs w:val="20"/>
              </w:rPr>
            </w:pPr>
            <w:r w:rsidRPr="00AD2C8F">
              <w:rPr>
                <w:bCs/>
                <w:sz w:val="20"/>
                <w:szCs w:val="20"/>
              </w:rPr>
              <w:lastRenderedPageBreak/>
              <w:t>18.</w:t>
            </w:r>
          </w:p>
        </w:tc>
        <w:tc>
          <w:tcPr>
            <w:tcW w:w="1390" w:type="pct"/>
          </w:tcPr>
          <w:p w14:paraId="04AF9905" w14:textId="77777777" w:rsidR="00047C2C" w:rsidRPr="00AD2C8F" w:rsidRDefault="00047C2C" w:rsidP="0011389B">
            <w:pPr>
              <w:jc w:val="left"/>
              <w:rPr>
                <w:bCs/>
                <w:sz w:val="20"/>
                <w:szCs w:val="20"/>
              </w:rPr>
            </w:pPr>
            <w:r w:rsidRPr="00AD2C8F">
              <w:rPr>
                <w:bCs/>
                <w:sz w:val="20"/>
                <w:szCs w:val="20"/>
              </w:rPr>
              <w:t>Jaki jest wpływ realizowanych inwestycji infrastrukturalnych na rozwój przedsiębiorczości w regionie?</w:t>
            </w:r>
          </w:p>
        </w:tc>
        <w:tc>
          <w:tcPr>
            <w:tcW w:w="2989" w:type="pct"/>
          </w:tcPr>
          <w:p w14:paraId="2FB11A8D" w14:textId="7DE1FFD8" w:rsidR="00047C2C" w:rsidRPr="00AD2C8F" w:rsidRDefault="009E1167" w:rsidP="0011389B">
            <w:pPr>
              <w:jc w:val="left"/>
              <w:rPr>
                <w:bCs/>
                <w:sz w:val="20"/>
                <w:szCs w:val="20"/>
              </w:rPr>
            </w:pPr>
            <w:r w:rsidRPr="00AD2C8F">
              <w:rPr>
                <w:bCs/>
                <w:sz w:val="20"/>
                <w:szCs w:val="20"/>
              </w:rPr>
              <w:t xml:space="preserve">Realizacja inwestycji kolejowych przyczynia się do rozwoju przedsiębiorczości w regionie. Na przestrzeni lat 2014-2022 zaobserwowano wzrost wykonanych przewozów towarowych (o 1320% dla </w:t>
            </w:r>
            <w:proofErr w:type="spellStart"/>
            <w:r w:rsidRPr="00AD2C8F">
              <w:rPr>
                <w:bCs/>
                <w:sz w:val="20"/>
                <w:szCs w:val="20"/>
              </w:rPr>
              <w:t>pociągokilometrów</w:t>
            </w:r>
            <w:proofErr w:type="spellEnd"/>
            <w:r w:rsidRPr="00AD2C8F">
              <w:rPr>
                <w:bCs/>
                <w:sz w:val="20"/>
                <w:szCs w:val="20"/>
              </w:rPr>
              <w:t xml:space="preserve"> i o 204% dla </w:t>
            </w:r>
            <w:proofErr w:type="spellStart"/>
            <w:r w:rsidRPr="00AD2C8F">
              <w:rPr>
                <w:bCs/>
                <w:sz w:val="20"/>
                <w:szCs w:val="20"/>
              </w:rPr>
              <w:t>bruttotonokilometrów</w:t>
            </w:r>
            <w:proofErr w:type="spellEnd"/>
            <w:r w:rsidRPr="00AD2C8F">
              <w:rPr>
                <w:bCs/>
                <w:sz w:val="20"/>
                <w:szCs w:val="20"/>
              </w:rPr>
              <w:t>). LK 25 ma kluczowe znaczenie dla obsługi terminala kontenerowego w Knapach, umożliwiając przewóz przeładowanych ładunków w kierunku Krakowa po LK 91 i dalej do każdego regionu kraju. Modernizacja Przeworskiej Kolei Dojazdowej może wpłynąć na rozwój turystyki w regionie i przynieść dodatkowe efekty związane z rozwojem przedsiębiorczości.</w:t>
            </w:r>
          </w:p>
        </w:tc>
        <w:tc>
          <w:tcPr>
            <w:tcW w:w="341" w:type="pct"/>
          </w:tcPr>
          <w:p w14:paraId="41EC6E6E" w14:textId="77777777" w:rsidR="00047C2C" w:rsidRDefault="009E1167" w:rsidP="0011389B">
            <w:pPr>
              <w:jc w:val="left"/>
              <w:rPr>
                <w:bCs/>
                <w:sz w:val="20"/>
                <w:szCs w:val="20"/>
              </w:rPr>
            </w:pPr>
            <w:r w:rsidRPr="00AD2C8F">
              <w:rPr>
                <w:bCs/>
                <w:sz w:val="20"/>
                <w:szCs w:val="20"/>
              </w:rPr>
              <w:t>5.3</w:t>
            </w:r>
          </w:p>
          <w:p w14:paraId="2E4D2B8C" w14:textId="77777777" w:rsidR="004B7934" w:rsidRPr="004B7934" w:rsidRDefault="004B7934" w:rsidP="004B7934">
            <w:pPr>
              <w:rPr>
                <w:sz w:val="20"/>
                <w:szCs w:val="20"/>
              </w:rPr>
            </w:pPr>
          </w:p>
          <w:p w14:paraId="61BB88AB" w14:textId="77777777" w:rsidR="004B7934" w:rsidRPr="004B7934" w:rsidRDefault="004B7934" w:rsidP="004B7934">
            <w:pPr>
              <w:rPr>
                <w:sz w:val="20"/>
                <w:szCs w:val="20"/>
              </w:rPr>
            </w:pPr>
          </w:p>
          <w:p w14:paraId="76D017B6" w14:textId="618C62EA" w:rsidR="004B7934" w:rsidRPr="004B7934" w:rsidRDefault="004B7934" w:rsidP="004B7934">
            <w:pPr>
              <w:rPr>
                <w:sz w:val="20"/>
                <w:szCs w:val="20"/>
              </w:rPr>
            </w:pPr>
          </w:p>
        </w:tc>
      </w:tr>
      <w:tr w:rsidR="00047C2C" w:rsidRPr="00AD2C8F" w14:paraId="15DD61CD" w14:textId="282A975B"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17734CCF" w14:textId="77777777" w:rsidR="00047C2C" w:rsidRPr="00AD2C8F" w:rsidRDefault="00047C2C" w:rsidP="0011389B">
            <w:pPr>
              <w:jc w:val="left"/>
              <w:rPr>
                <w:bCs/>
                <w:sz w:val="20"/>
                <w:szCs w:val="20"/>
              </w:rPr>
            </w:pPr>
            <w:r w:rsidRPr="00AD2C8F">
              <w:rPr>
                <w:bCs/>
                <w:sz w:val="20"/>
                <w:szCs w:val="20"/>
              </w:rPr>
              <w:t>19.</w:t>
            </w:r>
          </w:p>
        </w:tc>
        <w:tc>
          <w:tcPr>
            <w:tcW w:w="1390" w:type="pct"/>
          </w:tcPr>
          <w:p w14:paraId="36EF4082" w14:textId="77777777" w:rsidR="00047C2C" w:rsidRPr="00AD2C8F" w:rsidRDefault="00047C2C" w:rsidP="0011389B">
            <w:pPr>
              <w:jc w:val="left"/>
              <w:rPr>
                <w:bCs/>
                <w:sz w:val="20"/>
                <w:szCs w:val="20"/>
              </w:rPr>
            </w:pPr>
            <w:r w:rsidRPr="00AD2C8F">
              <w:rPr>
                <w:bCs/>
                <w:sz w:val="20"/>
                <w:szCs w:val="20"/>
              </w:rPr>
              <w:t>Czy, a jeśli tak to w jakim stopniu w efekcie udzielonego wsparcia nastąpiła/docelowo nastąpi poprawa dostępności, a w konsekwencji większe wykorzystanie transportu zbiorowego w miastach?</w:t>
            </w:r>
          </w:p>
        </w:tc>
        <w:tc>
          <w:tcPr>
            <w:tcW w:w="2989" w:type="pct"/>
          </w:tcPr>
          <w:p w14:paraId="2EE4AD69" w14:textId="6805DB0C" w:rsidR="00047C2C" w:rsidRPr="00AD2C8F" w:rsidRDefault="00750781" w:rsidP="0011389B">
            <w:pPr>
              <w:jc w:val="left"/>
              <w:rPr>
                <w:bCs/>
                <w:sz w:val="20"/>
                <w:szCs w:val="20"/>
              </w:rPr>
            </w:pPr>
            <w:r w:rsidRPr="00AD2C8F">
              <w:rPr>
                <w:bCs/>
                <w:sz w:val="20"/>
                <w:szCs w:val="20"/>
              </w:rPr>
              <w:t>Analizy przedstawione w raporcie końcowym wskazują, że realizacja projektów nie przyczyniła się do budowy spójnego i efektywnego systemu przewozów pasażerskich na terenie miast i ich obszarów funkcjonalnych. Niezbędne jest zwiększanie oferty przewozowej, co przełoży się na wyższą jakość komunikacji, pociągając za sobą efekt zwiększonego wykorzystania. Działania związane z tworzeniem nowych linii (np. w ramach związków gminno-powiatowych) mogłyby umożliwić pełną poprawę dostępności i większe wykorzystanie transportu w miastach</w:t>
            </w:r>
          </w:p>
        </w:tc>
        <w:tc>
          <w:tcPr>
            <w:tcW w:w="341" w:type="pct"/>
          </w:tcPr>
          <w:p w14:paraId="04FD49D1" w14:textId="5984294B" w:rsidR="00047C2C" w:rsidRPr="00AD2C8F" w:rsidRDefault="00750781" w:rsidP="0011389B">
            <w:pPr>
              <w:jc w:val="left"/>
              <w:rPr>
                <w:bCs/>
                <w:sz w:val="20"/>
                <w:szCs w:val="20"/>
              </w:rPr>
            </w:pPr>
            <w:r w:rsidRPr="00AD2C8F">
              <w:rPr>
                <w:bCs/>
                <w:sz w:val="20"/>
                <w:szCs w:val="20"/>
              </w:rPr>
              <w:t>5.4</w:t>
            </w:r>
          </w:p>
        </w:tc>
      </w:tr>
      <w:tr w:rsidR="00047C2C" w:rsidRPr="00AD2C8F" w14:paraId="415FF67E" w14:textId="04057C8B" w:rsidTr="009E1167">
        <w:trPr>
          <w:cantSplit w:val="0"/>
        </w:trPr>
        <w:tc>
          <w:tcPr>
            <w:tcW w:w="280" w:type="pct"/>
            <w:vAlign w:val="center"/>
          </w:tcPr>
          <w:p w14:paraId="68FDA1FA" w14:textId="77777777" w:rsidR="00047C2C" w:rsidRPr="00AD2C8F" w:rsidRDefault="00047C2C" w:rsidP="0011389B">
            <w:pPr>
              <w:jc w:val="left"/>
              <w:rPr>
                <w:bCs/>
                <w:sz w:val="20"/>
                <w:szCs w:val="20"/>
              </w:rPr>
            </w:pPr>
            <w:r w:rsidRPr="00AD2C8F">
              <w:rPr>
                <w:bCs/>
                <w:sz w:val="20"/>
                <w:szCs w:val="20"/>
              </w:rPr>
              <w:t>20.</w:t>
            </w:r>
          </w:p>
        </w:tc>
        <w:tc>
          <w:tcPr>
            <w:tcW w:w="1390" w:type="pct"/>
          </w:tcPr>
          <w:p w14:paraId="477222D6" w14:textId="77777777" w:rsidR="00047C2C" w:rsidRPr="00AD2C8F" w:rsidRDefault="00047C2C" w:rsidP="0011389B">
            <w:pPr>
              <w:jc w:val="left"/>
              <w:rPr>
                <w:bCs/>
                <w:sz w:val="20"/>
                <w:szCs w:val="20"/>
              </w:rPr>
            </w:pPr>
            <w:r w:rsidRPr="00AD2C8F">
              <w:rPr>
                <w:bCs/>
                <w:sz w:val="20"/>
                <w:szCs w:val="20"/>
              </w:rPr>
              <w:t>Jaka jest skuteczność wsparcia oferowanego w ramach OP V RPO WP 2014-2020 w zakresie ograniczenia emisyjności transportu miejskiego?</w:t>
            </w:r>
          </w:p>
        </w:tc>
        <w:tc>
          <w:tcPr>
            <w:tcW w:w="2989" w:type="pct"/>
          </w:tcPr>
          <w:p w14:paraId="4F27B538" w14:textId="461611EB" w:rsidR="00047C2C" w:rsidRPr="00AD2C8F" w:rsidRDefault="00750781" w:rsidP="0011389B">
            <w:pPr>
              <w:jc w:val="left"/>
              <w:rPr>
                <w:bCs/>
                <w:sz w:val="20"/>
                <w:szCs w:val="20"/>
              </w:rPr>
            </w:pPr>
            <w:r w:rsidRPr="00AD2C8F">
              <w:rPr>
                <w:bCs/>
                <w:sz w:val="20"/>
                <w:szCs w:val="20"/>
              </w:rPr>
              <w:t>Można wnioskować, że skuteczność wsparcia w zakresie ograniczenia emisyjności transportu publicznego odniosła pozytywny skutek, a nowoczesne autobusy dodatkowo zwiększyły komfort podróżowania. W pozostałych aspektach nie zauważa się znaczącego wpływu interwencji – w ograniczonym stopniu wpłynęła na poprawę mobilności i jakości życia mieszkańców województwa podkarpackiego. W największym stopniu skorzystali mieszkańcy ROF. W przypadku pozostałych analizowanych obszarów funkcjonalnych, na podstawie przeprowadzonych badań, nie można stwierdzić, aby interwencja poprawiła jakość życia i mobilność mieszkańców.</w:t>
            </w:r>
          </w:p>
        </w:tc>
        <w:tc>
          <w:tcPr>
            <w:tcW w:w="341" w:type="pct"/>
          </w:tcPr>
          <w:p w14:paraId="61879B03" w14:textId="134B0FC5" w:rsidR="00047C2C" w:rsidRPr="00AD2C8F" w:rsidRDefault="00750781" w:rsidP="0011389B">
            <w:pPr>
              <w:jc w:val="left"/>
              <w:rPr>
                <w:bCs/>
                <w:sz w:val="20"/>
                <w:szCs w:val="20"/>
              </w:rPr>
            </w:pPr>
            <w:r w:rsidRPr="00AD2C8F">
              <w:rPr>
                <w:bCs/>
                <w:sz w:val="20"/>
                <w:szCs w:val="20"/>
              </w:rPr>
              <w:t>5.4</w:t>
            </w:r>
          </w:p>
        </w:tc>
      </w:tr>
      <w:tr w:rsidR="00047C2C" w:rsidRPr="00AD2C8F" w14:paraId="3B5C51F2" w14:textId="2A52BCF9" w:rsidTr="009E1167">
        <w:trPr>
          <w:cnfStyle w:val="000000100000" w:firstRow="0" w:lastRow="0" w:firstColumn="0" w:lastColumn="0" w:oddVBand="0" w:evenVBand="0" w:oddHBand="1" w:evenHBand="0" w:firstRowFirstColumn="0" w:firstRowLastColumn="0" w:lastRowFirstColumn="0" w:lastRowLastColumn="0"/>
          <w:cantSplit w:val="0"/>
        </w:trPr>
        <w:tc>
          <w:tcPr>
            <w:tcW w:w="280" w:type="pct"/>
          </w:tcPr>
          <w:p w14:paraId="19800EC0" w14:textId="77777777" w:rsidR="00047C2C" w:rsidRPr="00AD2C8F" w:rsidRDefault="00047C2C" w:rsidP="0011389B">
            <w:pPr>
              <w:jc w:val="left"/>
              <w:rPr>
                <w:bCs/>
                <w:sz w:val="20"/>
                <w:szCs w:val="20"/>
              </w:rPr>
            </w:pPr>
            <w:r w:rsidRPr="00AD2C8F">
              <w:rPr>
                <w:bCs/>
                <w:sz w:val="20"/>
                <w:szCs w:val="20"/>
              </w:rPr>
              <w:t>21.</w:t>
            </w:r>
          </w:p>
        </w:tc>
        <w:tc>
          <w:tcPr>
            <w:tcW w:w="1390" w:type="pct"/>
          </w:tcPr>
          <w:p w14:paraId="25929800" w14:textId="77777777" w:rsidR="00047C2C" w:rsidRPr="00AD2C8F" w:rsidRDefault="00047C2C" w:rsidP="0011389B">
            <w:pPr>
              <w:jc w:val="left"/>
              <w:rPr>
                <w:bCs/>
                <w:sz w:val="20"/>
                <w:szCs w:val="20"/>
              </w:rPr>
            </w:pPr>
            <w:r w:rsidRPr="00AD2C8F">
              <w:rPr>
                <w:bCs/>
                <w:sz w:val="20"/>
                <w:szCs w:val="20"/>
              </w:rPr>
              <w:t xml:space="preserve">Czy, a jeśli tak to w jakim stopniu wzrosła jakość miejskiego systemu transportowego, mierzona m.in. liczbą zainstalowanych inteligentnych systemów transportowych, czy zakupionych lub zmodernizowanych jednostek taboru pasażerskiego w </w:t>
            </w:r>
            <w:r w:rsidRPr="00AD2C8F">
              <w:rPr>
                <w:bCs/>
                <w:sz w:val="20"/>
                <w:szCs w:val="20"/>
              </w:rPr>
              <w:lastRenderedPageBreak/>
              <w:t>publicznym transporcie zbiorowym komunikacji miejskiej?</w:t>
            </w:r>
          </w:p>
        </w:tc>
        <w:tc>
          <w:tcPr>
            <w:tcW w:w="2989" w:type="pct"/>
          </w:tcPr>
          <w:p w14:paraId="2D4140B6" w14:textId="6B8B8A0A" w:rsidR="00047C2C" w:rsidRPr="00AD2C8F" w:rsidRDefault="00750781" w:rsidP="0011389B">
            <w:pPr>
              <w:jc w:val="left"/>
              <w:rPr>
                <w:bCs/>
                <w:sz w:val="20"/>
                <w:szCs w:val="20"/>
              </w:rPr>
            </w:pPr>
            <w:r w:rsidRPr="00AD2C8F">
              <w:rPr>
                <w:bCs/>
                <w:sz w:val="20"/>
                <w:szCs w:val="20"/>
              </w:rPr>
              <w:lastRenderedPageBreak/>
              <w:t>Analiza danych pozwala określić, że znacznie wzrosła jakość miejskiego systemu transportowego. Określić to można miarą zainstalowanych inteligentnych systemów transportowych (4 sztuki) oraz wielkością zakupionych lub zmodernizowanych autobusów w publicznym transporcie zbiorowym (191 sztuk).</w:t>
            </w:r>
          </w:p>
        </w:tc>
        <w:tc>
          <w:tcPr>
            <w:tcW w:w="341" w:type="pct"/>
          </w:tcPr>
          <w:p w14:paraId="4328721A" w14:textId="7E027D7E" w:rsidR="00047C2C" w:rsidRPr="00AD2C8F" w:rsidRDefault="00750781" w:rsidP="0011389B">
            <w:pPr>
              <w:jc w:val="left"/>
              <w:rPr>
                <w:bCs/>
                <w:sz w:val="20"/>
                <w:szCs w:val="20"/>
              </w:rPr>
            </w:pPr>
            <w:r w:rsidRPr="00AD2C8F">
              <w:rPr>
                <w:bCs/>
                <w:sz w:val="20"/>
                <w:szCs w:val="20"/>
              </w:rPr>
              <w:t>5.4</w:t>
            </w:r>
          </w:p>
        </w:tc>
      </w:tr>
    </w:tbl>
    <w:p w14:paraId="2AF6CB90" w14:textId="7BDAAA3F" w:rsidR="00DB57DF" w:rsidRPr="00606C2A" w:rsidRDefault="00DB57DF" w:rsidP="008B4528">
      <w:pPr>
        <w:jc w:val="left"/>
        <w:rPr>
          <w:rFonts w:cs="Calibri Light"/>
          <w:szCs w:val="24"/>
        </w:rPr>
      </w:pPr>
    </w:p>
    <w:sectPr w:rsidR="00DB57DF" w:rsidRPr="00606C2A" w:rsidSect="004B7934">
      <w:pgSz w:w="16838" w:h="11906" w:orient="landscape"/>
      <w:pgMar w:top="1134" w:right="1418" w:bottom="1134"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BA65" w14:textId="77777777" w:rsidR="00AC5668" w:rsidRDefault="00AC5668" w:rsidP="00E94482">
      <w:pPr>
        <w:spacing w:before="0" w:after="0" w:line="240" w:lineRule="auto"/>
      </w:pPr>
      <w:r>
        <w:separator/>
      </w:r>
    </w:p>
  </w:endnote>
  <w:endnote w:type="continuationSeparator" w:id="0">
    <w:p w14:paraId="73D05D40" w14:textId="77777777" w:rsidR="00AC5668" w:rsidRDefault="00AC5668" w:rsidP="00E94482">
      <w:pPr>
        <w:spacing w:before="0" w:after="0" w:line="240" w:lineRule="auto"/>
      </w:pPr>
      <w:r>
        <w:continuationSeparator/>
      </w:r>
    </w:p>
  </w:endnote>
  <w:endnote w:type="continuationNotice" w:id="1">
    <w:p w14:paraId="718964B2" w14:textId="77777777" w:rsidR="00AC5668" w:rsidRDefault="00AC56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355B3E9-4C32-40E8-8B81-332E20743ACC}"/>
  </w:font>
  <w:font w:name="Times New Roman">
    <w:panose1 w:val="02020603050405020304"/>
    <w:charset w:val="EE"/>
    <w:family w:val="roman"/>
    <w:pitch w:val="variable"/>
    <w:sig w:usb0="E0002EFF" w:usb1="C000785B" w:usb2="00000009" w:usb3="00000000" w:csb0="000001FF" w:csb1="00000000"/>
    <w:embedRegular r:id="rId2" w:fontKey="{AA416E29-4EF1-4CA5-A9F9-38795673B985}"/>
    <w:embedBold r:id="rId3" w:fontKey="{2700B8AC-D6F3-4935-B704-A13742A09731}"/>
    <w:embedItalic r:id="rId4" w:fontKey="{D21F3607-2364-4B49-A50E-7E66FE03717D}"/>
  </w:font>
  <w:font w:name="Courier New">
    <w:panose1 w:val="02070309020205020404"/>
    <w:charset w:val="EE"/>
    <w:family w:val="modern"/>
    <w:pitch w:val="fixed"/>
    <w:sig w:usb0="E0002EFF" w:usb1="C0007843" w:usb2="00000009" w:usb3="00000000" w:csb0="000001FF" w:csb1="00000000"/>
    <w:embedRegular r:id="rId5" w:fontKey="{5E3D4F81-34F8-43B1-B68B-05A2F49B5F1B}"/>
  </w:font>
  <w:font w:name="Wingdings">
    <w:panose1 w:val="05000000000000000000"/>
    <w:charset w:val="02"/>
    <w:family w:val="auto"/>
    <w:pitch w:val="variable"/>
    <w:sig w:usb0="00000000" w:usb1="10000000" w:usb2="00000000" w:usb3="00000000" w:csb0="80000000" w:csb1="00000000"/>
    <w:embedRegular r:id="rId6" w:fontKey="{80F599F0-F3F5-417F-B5AA-4B75F3025E0A}"/>
  </w:font>
  <w:font w:name="Noto Sans Symbols">
    <w:altName w:val="Calibri"/>
    <w:charset w:val="00"/>
    <w:family w:val="auto"/>
    <w:pitch w:val="default"/>
  </w:font>
  <w:font w:name="Lora">
    <w:altName w:val="Calibri"/>
    <w:panose1 w:val="02000503000000020004"/>
    <w:charset w:val="00"/>
    <w:family w:val="auto"/>
    <w:pitch w:val="variable"/>
    <w:sig w:usb0="A00002AF" w:usb1="5000204B" w:usb2="00000000" w:usb3="00000000" w:csb0="00000197" w:csb1="00000000"/>
    <w:embedRegular r:id="rId7" w:fontKey="{348C7BA1-1B16-456F-93C8-C49894FC3AAB}"/>
    <w:embedBold r:id="rId8" w:fontKey="{1D548B1F-CE30-45B2-BE13-A3575650B5D7}"/>
  </w:font>
  <w:font w:name="Calibri Light">
    <w:panose1 w:val="020F0302020204030204"/>
    <w:charset w:val="EE"/>
    <w:family w:val="swiss"/>
    <w:pitch w:val="variable"/>
    <w:sig w:usb0="E4002EFF" w:usb1="C200247B" w:usb2="00000009" w:usb3="00000000" w:csb0="000001FF" w:csb1="00000000"/>
    <w:embedRegular r:id="rId9" w:fontKey="{77CC6760-D10F-4A34-8B86-6BF46DC4F945}"/>
    <w:embedBold r:id="rId10" w:fontKey="{FC26CD37-4E31-4C3F-B3EC-C7DF10309C49}"/>
  </w:font>
  <w:font w:name="Nexa Light">
    <w:panose1 w:val="02000000000000000000"/>
    <w:charset w:val="00"/>
    <w:family w:val="modern"/>
    <w:notTrueType/>
    <w:pitch w:val="variable"/>
    <w:sig w:usb0="A00000AF" w:usb1="4000207B" w:usb2="00000000" w:usb3="00000000" w:csb0="00000093" w:csb1="00000000"/>
  </w:font>
  <w:font w:name="Segoe UI">
    <w:panose1 w:val="020B0502040204020203"/>
    <w:charset w:val="EE"/>
    <w:family w:val="swiss"/>
    <w:pitch w:val="variable"/>
    <w:sig w:usb0="E4002EFF" w:usb1="C000E47F" w:usb2="00000009" w:usb3="00000000" w:csb0="000001FF" w:csb1="00000000"/>
    <w:embedRegular r:id="rId11" w:fontKey="{5B182C34-E682-4BF6-83DF-2B94E6C75FEC}"/>
  </w:font>
  <w:font w:name="Calibri-Light">
    <w:altName w:val="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12" w:fontKey="{F51AB2C2-F7C6-4882-B10E-A28BBC630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938791"/>
      <w:docPartObj>
        <w:docPartGallery w:val="Page Numbers (Bottom of Page)"/>
        <w:docPartUnique/>
      </w:docPartObj>
    </w:sdtPr>
    <w:sdtEndPr>
      <w:rPr>
        <w:rFonts w:asciiTheme="majorHAnsi" w:hAnsiTheme="majorHAnsi"/>
      </w:rPr>
    </w:sdtEndPr>
    <w:sdtContent>
      <w:p w14:paraId="561228AD" w14:textId="07B0D042" w:rsidR="004B7934" w:rsidRPr="00E63BD6" w:rsidRDefault="00E63BD6">
        <w:pPr>
          <w:pStyle w:val="Stopka"/>
          <w:rPr>
            <w:rFonts w:asciiTheme="majorHAnsi" w:hAnsiTheme="majorHAnsi"/>
          </w:rPr>
        </w:pPr>
        <w:r w:rsidRPr="00E63BD6">
          <w:rPr>
            <w:rFonts w:asciiTheme="majorHAnsi" w:hAnsiTheme="majorHAnsi"/>
          </w:rPr>
          <w:fldChar w:fldCharType="begin"/>
        </w:r>
        <w:r w:rsidRPr="00E63BD6">
          <w:rPr>
            <w:rFonts w:asciiTheme="majorHAnsi" w:hAnsiTheme="majorHAnsi"/>
          </w:rPr>
          <w:instrText>PAGE   \* MERGEFORMAT</w:instrText>
        </w:r>
        <w:r w:rsidRPr="00E63BD6">
          <w:rPr>
            <w:rFonts w:asciiTheme="majorHAnsi" w:hAnsiTheme="majorHAnsi"/>
          </w:rPr>
          <w:fldChar w:fldCharType="separate"/>
        </w:r>
        <w:r w:rsidRPr="00E63BD6">
          <w:rPr>
            <w:rFonts w:asciiTheme="majorHAnsi" w:hAnsiTheme="majorHAnsi"/>
          </w:rPr>
          <w:t>2</w:t>
        </w:r>
        <w:r w:rsidRPr="00E63BD6">
          <w:rPr>
            <w:rFonts w:asciiTheme="majorHAnsi" w:hAnsi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7250" w14:textId="77777777" w:rsidR="00174B46" w:rsidRPr="00952E38" w:rsidRDefault="00174B46" w:rsidP="00952E38">
    <w:pPr>
      <w:pStyle w:val="Stopka"/>
      <w:jc w:val="right"/>
      <w:rPr>
        <w:rFonts w:asciiTheme="majorHAnsi" w:hAnsiTheme="majorHAnsi"/>
        <w:szCs w:val="20"/>
      </w:rPr>
    </w:pPr>
    <w:r w:rsidRPr="000E6655">
      <w:rPr>
        <w:rFonts w:asciiTheme="majorHAnsi" w:hAnsiTheme="majorHAnsi"/>
        <w:szCs w:val="20"/>
      </w:rPr>
      <w:fldChar w:fldCharType="begin"/>
    </w:r>
    <w:r w:rsidRPr="000E6655">
      <w:rPr>
        <w:rFonts w:asciiTheme="majorHAnsi" w:hAnsiTheme="majorHAnsi"/>
        <w:szCs w:val="20"/>
      </w:rPr>
      <w:instrText>PAGE   \* MERGEFORMAT</w:instrText>
    </w:r>
    <w:r w:rsidRPr="000E6655">
      <w:rPr>
        <w:rFonts w:asciiTheme="majorHAnsi" w:hAnsiTheme="majorHAnsi"/>
        <w:szCs w:val="20"/>
      </w:rPr>
      <w:fldChar w:fldCharType="separate"/>
    </w:r>
    <w:r>
      <w:rPr>
        <w:rFonts w:asciiTheme="majorHAnsi" w:hAnsiTheme="majorHAnsi"/>
        <w:noProof/>
        <w:szCs w:val="20"/>
      </w:rPr>
      <w:t>77</w:t>
    </w:r>
    <w:r w:rsidRPr="000E6655">
      <w:rPr>
        <w:rFonts w:asciiTheme="majorHAnsi" w:hAnsiTheme="majorHAnsi"/>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8AC7" w14:textId="491EBE73" w:rsidR="00FF59C6" w:rsidRDefault="00FF59C6" w:rsidP="00FF59C6">
    <w:pPr>
      <w:pStyle w:val="Stopka"/>
      <w:jc w:val="center"/>
    </w:pPr>
    <w:r w:rsidRPr="00BE22E6">
      <w:rPr>
        <w:noProof/>
        <w:lang w:eastAsia="pl-PL"/>
      </w:rPr>
      <w:drawing>
        <wp:inline distT="0" distB="0" distL="0" distR="0" wp14:anchorId="39E2FE28" wp14:editId="3B09AE34">
          <wp:extent cx="5760085" cy="421005"/>
          <wp:effectExtent l="0" t="0" r="0" b="0"/>
          <wp:docPr id="12" name="Obraz 12" descr="Rysunek z logotypami unijnymi.">
            <a:extLst xmlns:a="http://schemas.openxmlformats.org/drawingml/2006/main">
              <a:ext uri="{FF2B5EF4-FFF2-40B4-BE49-F238E27FC236}">
                <a16:creationId xmlns:a16="http://schemas.microsoft.com/office/drawing/2014/main" id="{770C36BB-7D64-DF9E-A172-34712781D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ysunek z logotypami unijnymi.">
                    <a:extLst>
                      <a:ext uri="{FF2B5EF4-FFF2-40B4-BE49-F238E27FC236}">
                        <a16:creationId xmlns:a16="http://schemas.microsoft.com/office/drawing/2014/main" id="{770C36BB-7D64-DF9E-A172-34712781D0E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421005"/>
                  </a:xfrm>
                  <a:prstGeom prst="rect">
                    <a:avLst/>
                  </a:prstGeom>
                  <a:noFill/>
                </pic:spPr>
              </pic:pic>
            </a:graphicData>
          </a:graphic>
        </wp:inline>
      </w:drawing>
    </w:r>
  </w:p>
  <w:p w14:paraId="4229B520" w14:textId="2708ED7A" w:rsidR="00174B46" w:rsidRDefault="00FF59C6" w:rsidP="00FF59C6">
    <w:pPr>
      <w:pStyle w:val="Stopka"/>
      <w:jc w:val="center"/>
    </w:pPr>
    <w:r w:rsidRPr="00BE22E6">
      <w:t>Projekt współfinansowany ze środków Unii Europejskiej z Europejskiego Funduszu Społecznego w ramach Regionalnego Programu Operacyjnego Województwa Podkarpackiego na lata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9BA46" w14:textId="77777777" w:rsidR="00AC5668" w:rsidRDefault="00AC5668" w:rsidP="00E94482">
      <w:pPr>
        <w:spacing w:before="0" w:after="0" w:line="240" w:lineRule="auto"/>
      </w:pPr>
      <w:r>
        <w:separator/>
      </w:r>
    </w:p>
  </w:footnote>
  <w:footnote w:type="continuationSeparator" w:id="0">
    <w:p w14:paraId="09989BDB" w14:textId="77777777" w:rsidR="00AC5668" w:rsidRDefault="00AC5668" w:rsidP="00E94482">
      <w:pPr>
        <w:spacing w:before="0" w:after="0" w:line="240" w:lineRule="auto"/>
      </w:pPr>
      <w:r>
        <w:continuationSeparator/>
      </w:r>
    </w:p>
  </w:footnote>
  <w:footnote w:type="continuationNotice" w:id="1">
    <w:p w14:paraId="13D8777B" w14:textId="77777777" w:rsidR="00AC5668" w:rsidRDefault="00AC56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D5F8" w14:textId="5101CB6A" w:rsidR="00174B46" w:rsidRDefault="004B7934" w:rsidP="00C22E2E">
    <w:pPr>
      <w:ind w:left="36"/>
    </w:pPr>
    <w:r w:rsidRPr="00683929">
      <w:rPr>
        <w:noProof/>
        <w:szCs w:val="20"/>
        <w:lang w:eastAsia="pl-PL"/>
      </w:rPr>
      <w:drawing>
        <wp:inline distT="0" distB="0" distL="0" distR="0" wp14:anchorId="4CE5907A" wp14:editId="2F5BA5EA">
          <wp:extent cx="1002891" cy="407504"/>
          <wp:effectExtent l="0" t="0" r="6985" b="0"/>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881" cy="4400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569F" w14:textId="1E75F902" w:rsidR="00174B46" w:rsidRPr="005F4392" w:rsidRDefault="005F4392" w:rsidP="005F4392">
    <w:pPr>
      <w:pStyle w:val="Nagwek"/>
      <w:jc w:val="right"/>
    </w:pPr>
    <w:r w:rsidRPr="005F4392">
      <w:rPr>
        <w:rFonts w:eastAsiaTheme="minorEastAsia"/>
        <w:spacing w:val="15"/>
      </w:rPr>
      <w:t>Ocena wpływu RPO WP 2014-2020 na efektywność systemu transportowego regionu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047B" w14:textId="77777777" w:rsidR="00174B46" w:rsidRDefault="00174B46" w:rsidP="005F6539">
    <w:pPr>
      <w:pStyle w:val="Nagwek"/>
      <w:tabs>
        <w:tab w:val="clear" w:pos="4536"/>
        <w:tab w:val="clear" w:pos="9072"/>
      </w:tabs>
      <w:ind w:left="-2268" w:right="-1417"/>
    </w:pPr>
    <w:r w:rsidRPr="00E56EF2">
      <w:rPr>
        <w:noProof/>
        <w:lang w:eastAsia="pl-PL"/>
      </w:rPr>
      <w:drawing>
        <wp:anchor distT="0" distB="0" distL="114300" distR="114300" simplePos="0" relativeHeight="251658240" behindDoc="0" locked="0" layoutInCell="1" allowOverlap="1" wp14:anchorId="2AE534F9" wp14:editId="4D671740">
          <wp:simplePos x="0" y="0"/>
          <wp:positionH relativeFrom="column">
            <wp:posOffset>-1051560</wp:posOffset>
          </wp:positionH>
          <wp:positionV relativeFrom="paragraph">
            <wp:posOffset>-288290</wp:posOffset>
          </wp:positionV>
          <wp:extent cx="7667625" cy="1520190"/>
          <wp:effectExtent l="0" t="0" r="9525" b="3810"/>
          <wp:wrapSquare wrapText="bothSides"/>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62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2FFE"/>
    <w:multiLevelType w:val="hybridMultilevel"/>
    <w:tmpl w:val="47423326"/>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F150D8"/>
    <w:multiLevelType w:val="hybridMultilevel"/>
    <w:tmpl w:val="83281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723210"/>
    <w:multiLevelType w:val="hybridMultilevel"/>
    <w:tmpl w:val="810893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E444B6"/>
    <w:multiLevelType w:val="hybridMultilevel"/>
    <w:tmpl w:val="66CE5810"/>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51EAF"/>
    <w:multiLevelType w:val="hybridMultilevel"/>
    <w:tmpl w:val="C9E877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0E4F3F"/>
    <w:multiLevelType w:val="multilevel"/>
    <w:tmpl w:val="A7364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98185A"/>
    <w:multiLevelType w:val="hybridMultilevel"/>
    <w:tmpl w:val="B80C3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E544C4"/>
    <w:multiLevelType w:val="hybridMultilevel"/>
    <w:tmpl w:val="B74C783A"/>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67D7253"/>
    <w:multiLevelType w:val="hybridMultilevel"/>
    <w:tmpl w:val="3F7E1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23614E"/>
    <w:multiLevelType w:val="hybridMultilevel"/>
    <w:tmpl w:val="8FC02EBE"/>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D614E1"/>
    <w:multiLevelType w:val="hybridMultilevel"/>
    <w:tmpl w:val="EA76349A"/>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B93FDD"/>
    <w:multiLevelType w:val="hybridMultilevel"/>
    <w:tmpl w:val="86D8907A"/>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9B213D"/>
    <w:multiLevelType w:val="hybridMultilevel"/>
    <w:tmpl w:val="011E1540"/>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A94930"/>
    <w:multiLevelType w:val="hybridMultilevel"/>
    <w:tmpl w:val="12D86B0A"/>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E55DD0"/>
    <w:multiLevelType w:val="hybridMultilevel"/>
    <w:tmpl w:val="8DD82B10"/>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FC752C"/>
    <w:multiLevelType w:val="hybridMultilevel"/>
    <w:tmpl w:val="B3C87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D40949"/>
    <w:multiLevelType w:val="hybridMultilevel"/>
    <w:tmpl w:val="B49411D6"/>
    <w:lvl w:ilvl="0" w:tplc="F5C42A98">
      <w:start w:val="1"/>
      <w:numFmt w:val="bullet"/>
      <w:lvlText w:val=""/>
      <w:lvlJc w:val="righ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A27A40"/>
    <w:multiLevelType w:val="hybridMultilevel"/>
    <w:tmpl w:val="5A70C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9872D71"/>
    <w:multiLevelType w:val="hybridMultilevel"/>
    <w:tmpl w:val="DF2C3412"/>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AAA3F9D"/>
    <w:multiLevelType w:val="hybridMultilevel"/>
    <w:tmpl w:val="F6C449E8"/>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ED125D0"/>
    <w:multiLevelType w:val="hybridMultilevel"/>
    <w:tmpl w:val="491621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8FA729F"/>
    <w:multiLevelType w:val="hybridMultilevel"/>
    <w:tmpl w:val="9E103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5C6357"/>
    <w:multiLevelType w:val="hybridMultilevel"/>
    <w:tmpl w:val="9DEA8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66236C"/>
    <w:multiLevelType w:val="hybridMultilevel"/>
    <w:tmpl w:val="111CCF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5F5623"/>
    <w:multiLevelType w:val="hybridMultilevel"/>
    <w:tmpl w:val="A664C922"/>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03D75C4"/>
    <w:multiLevelType w:val="hybridMultilevel"/>
    <w:tmpl w:val="6F2A355C"/>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F4577A"/>
    <w:multiLevelType w:val="hybridMultilevel"/>
    <w:tmpl w:val="49C45CE2"/>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67340BF"/>
    <w:multiLevelType w:val="hybridMultilevel"/>
    <w:tmpl w:val="B6183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6BAA"/>
    <w:multiLevelType w:val="hybridMultilevel"/>
    <w:tmpl w:val="455A1F90"/>
    <w:lvl w:ilvl="0" w:tplc="F5C42A98">
      <w:start w:val="1"/>
      <w:numFmt w:val="bullet"/>
      <w:lvlText w:val=""/>
      <w:lvlJc w:val="righ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E90AFF"/>
    <w:multiLevelType w:val="hybridMultilevel"/>
    <w:tmpl w:val="15FA7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F02245"/>
    <w:multiLevelType w:val="hybridMultilevel"/>
    <w:tmpl w:val="D0025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A012EEF"/>
    <w:multiLevelType w:val="multilevel"/>
    <w:tmpl w:val="F956FEEE"/>
    <w:lvl w:ilvl="0">
      <w:start w:val="1"/>
      <w:numFmt w:val="decimal"/>
      <w:pStyle w:val="Nagwek1"/>
      <w:lvlText w:val="%1."/>
      <w:lvlJc w:val="right"/>
      <w:pPr>
        <w:ind w:left="432" w:hanging="144"/>
      </w:pPr>
      <w:rPr>
        <w:rFonts w:hint="default"/>
      </w:rPr>
    </w:lvl>
    <w:lvl w:ilvl="1">
      <w:start w:val="1"/>
      <w:numFmt w:val="decimal"/>
      <w:pStyle w:val="Nagwek2"/>
      <w:lvlText w:val="%1.%2."/>
      <w:lvlJc w:val="right"/>
      <w:pPr>
        <w:ind w:left="576" w:hanging="288"/>
      </w:pPr>
    </w:lvl>
    <w:lvl w:ilvl="2">
      <w:start w:val="1"/>
      <w:numFmt w:val="decimal"/>
      <w:pStyle w:val="Nagwek3"/>
      <w:lvlText w:val="%1.%2.%3."/>
      <w:lvlJc w:val="right"/>
      <w:pPr>
        <w:ind w:left="720" w:hanging="432"/>
      </w:pPr>
      <w:rPr>
        <w:rFonts w:hint="default"/>
      </w:rPr>
    </w:lvl>
    <w:lvl w:ilvl="3">
      <w:start w:val="1"/>
      <w:numFmt w:val="decimal"/>
      <w:pStyle w:val="Nagwek4"/>
      <w:lvlText w:val="%1.%2.%3.%4."/>
      <w:lvlJc w:val="right"/>
      <w:pPr>
        <w:ind w:left="864" w:hanging="576"/>
      </w:pPr>
      <w:rPr>
        <w:rFonts w:hint="default"/>
      </w:rPr>
    </w:lvl>
    <w:lvl w:ilvl="4">
      <w:start w:val="1"/>
      <w:numFmt w:val="decimal"/>
      <w:pStyle w:val="Nagwek5"/>
      <w:lvlText w:val="%1.%2.%3.%4.%5."/>
      <w:lvlJc w:val="right"/>
      <w:pPr>
        <w:ind w:left="1008" w:hanging="720"/>
      </w:pPr>
      <w:rPr>
        <w:rFonts w:hint="default"/>
      </w:rPr>
    </w:lvl>
    <w:lvl w:ilvl="5">
      <w:start w:val="1"/>
      <w:numFmt w:val="decimal"/>
      <w:lvlText w:val="%1.%2.%3.%4.%5.%6."/>
      <w:lvlJc w:val="right"/>
      <w:pPr>
        <w:ind w:left="1152" w:hanging="864"/>
      </w:pPr>
      <w:rPr>
        <w:rFonts w:hint="default"/>
      </w:rPr>
    </w:lvl>
    <w:lvl w:ilvl="6">
      <w:start w:val="1"/>
      <w:numFmt w:val="decimal"/>
      <w:lvlText w:val="%1.%2.%3.%4.%5.%6.%7."/>
      <w:lvlJc w:val="right"/>
      <w:pPr>
        <w:ind w:left="1296" w:hanging="1008"/>
      </w:pPr>
      <w:rPr>
        <w:rFonts w:hint="default"/>
      </w:rPr>
    </w:lvl>
    <w:lvl w:ilvl="7">
      <w:start w:val="1"/>
      <w:numFmt w:val="decimal"/>
      <w:lvlText w:val="%1.%2.%3.%4.%5.%6.%7.%8."/>
      <w:lvlJc w:val="right"/>
      <w:pPr>
        <w:ind w:left="1440" w:hanging="1152"/>
      </w:pPr>
      <w:rPr>
        <w:rFonts w:hint="default"/>
      </w:rPr>
    </w:lvl>
    <w:lvl w:ilvl="8">
      <w:start w:val="1"/>
      <w:numFmt w:val="decimal"/>
      <w:lvlText w:val="%1.%2.%3.%4.%5.%6.%7.%8.%9."/>
      <w:lvlJc w:val="right"/>
      <w:pPr>
        <w:ind w:left="1584" w:hanging="1296"/>
      </w:pPr>
      <w:rPr>
        <w:rFonts w:hint="default"/>
      </w:rPr>
    </w:lvl>
  </w:abstractNum>
  <w:abstractNum w:abstractNumId="32" w15:restartNumberingAfterBreak="0">
    <w:nsid w:val="5C822EFD"/>
    <w:multiLevelType w:val="hybridMultilevel"/>
    <w:tmpl w:val="D896B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0961DA"/>
    <w:multiLevelType w:val="hybridMultilevel"/>
    <w:tmpl w:val="848A3002"/>
    <w:lvl w:ilvl="0" w:tplc="0415000F">
      <w:start w:val="1"/>
      <w:numFmt w:val="decimal"/>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34" w15:restartNumberingAfterBreak="0">
    <w:nsid w:val="5D0D0C2E"/>
    <w:multiLevelType w:val="hybridMultilevel"/>
    <w:tmpl w:val="C62060FC"/>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4C94C26"/>
    <w:multiLevelType w:val="hybridMultilevel"/>
    <w:tmpl w:val="08B20A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2373ED"/>
    <w:multiLevelType w:val="hybridMultilevel"/>
    <w:tmpl w:val="3AE26DD4"/>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CC22CC8"/>
    <w:multiLevelType w:val="hybridMultilevel"/>
    <w:tmpl w:val="36466E38"/>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D495E5A"/>
    <w:multiLevelType w:val="hybridMultilevel"/>
    <w:tmpl w:val="C9B6BF02"/>
    <w:lvl w:ilvl="0" w:tplc="F5C42A98">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C1B68E5"/>
    <w:multiLevelType w:val="hybridMultilevel"/>
    <w:tmpl w:val="08B20A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6139553">
    <w:abstractNumId w:val="31"/>
  </w:num>
  <w:num w:numId="2" w16cid:durableId="1430079085">
    <w:abstractNumId w:val="33"/>
  </w:num>
  <w:num w:numId="3" w16cid:durableId="1054542324">
    <w:abstractNumId w:val="4"/>
  </w:num>
  <w:num w:numId="4" w16cid:durableId="288515608">
    <w:abstractNumId w:val="21"/>
  </w:num>
  <w:num w:numId="5" w16cid:durableId="778064226">
    <w:abstractNumId w:val="1"/>
  </w:num>
  <w:num w:numId="6" w16cid:durableId="2247141">
    <w:abstractNumId w:val="8"/>
  </w:num>
  <w:num w:numId="7" w16cid:durableId="646394697">
    <w:abstractNumId w:val="32"/>
  </w:num>
  <w:num w:numId="8" w16cid:durableId="1511332259">
    <w:abstractNumId w:val="2"/>
  </w:num>
  <w:num w:numId="9" w16cid:durableId="1047528467">
    <w:abstractNumId w:val="30"/>
  </w:num>
  <w:num w:numId="10" w16cid:durableId="2002810919">
    <w:abstractNumId w:val="23"/>
  </w:num>
  <w:num w:numId="11" w16cid:durableId="914097227">
    <w:abstractNumId w:val="29"/>
  </w:num>
  <w:num w:numId="12" w16cid:durableId="256212197">
    <w:abstractNumId w:val="20"/>
  </w:num>
  <w:num w:numId="13" w16cid:durableId="1188913012">
    <w:abstractNumId w:val="15"/>
  </w:num>
  <w:num w:numId="14" w16cid:durableId="1131246164">
    <w:abstractNumId w:val="6"/>
  </w:num>
  <w:num w:numId="15" w16cid:durableId="1324895963">
    <w:abstractNumId w:val="5"/>
  </w:num>
  <w:num w:numId="16" w16cid:durableId="288556138">
    <w:abstractNumId w:val="24"/>
  </w:num>
  <w:num w:numId="17" w16cid:durableId="264726824">
    <w:abstractNumId w:val="18"/>
  </w:num>
  <w:num w:numId="18" w16cid:durableId="2041935627">
    <w:abstractNumId w:val="37"/>
  </w:num>
  <w:num w:numId="19" w16cid:durableId="652879972">
    <w:abstractNumId w:val="10"/>
  </w:num>
  <w:num w:numId="20" w16cid:durableId="819855717">
    <w:abstractNumId w:val="7"/>
  </w:num>
  <w:num w:numId="21" w16cid:durableId="590890124">
    <w:abstractNumId w:val="19"/>
  </w:num>
  <w:num w:numId="22" w16cid:durableId="1615137625">
    <w:abstractNumId w:val="35"/>
  </w:num>
  <w:num w:numId="23" w16cid:durableId="318702073">
    <w:abstractNumId w:val="39"/>
  </w:num>
  <w:num w:numId="24" w16cid:durableId="1841196689">
    <w:abstractNumId w:val="27"/>
  </w:num>
  <w:num w:numId="25" w16cid:durableId="1184243939">
    <w:abstractNumId w:val="17"/>
  </w:num>
  <w:num w:numId="26" w16cid:durableId="1586957955">
    <w:abstractNumId w:val="22"/>
  </w:num>
  <w:num w:numId="27" w16cid:durableId="2070683679">
    <w:abstractNumId w:val="0"/>
  </w:num>
  <w:num w:numId="28" w16cid:durableId="95517300">
    <w:abstractNumId w:val="28"/>
  </w:num>
  <w:num w:numId="29" w16cid:durableId="2100250344">
    <w:abstractNumId w:val="3"/>
  </w:num>
  <w:num w:numId="30" w16cid:durableId="1931036059">
    <w:abstractNumId w:val="38"/>
  </w:num>
  <w:num w:numId="31" w16cid:durableId="84084002">
    <w:abstractNumId w:val="11"/>
  </w:num>
  <w:num w:numId="32" w16cid:durableId="407387236">
    <w:abstractNumId w:val="12"/>
  </w:num>
  <w:num w:numId="33" w16cid:durableId="79523779">
    <w:abstractNumId w:val="9"/>
  </w:num>
  <w:num w:numId="34" w16cid:durableId="1283536808">
    <w:abstractNumId w:val="13"/>
  </w:num>
  <w:num w:numId="35" w16cid:durableId="1631394637">
    <w:abstractNumId w:val="34"/>
  </w:num>
  <w:num w:numId="36" w16cid:durableId="59836473">
    <w:abstractNumId w:val="25"/>
  </w:num>
  <w:num w:numId="37" w16cid:durableId="401605930">
    <w:abstractNumId w:val="14"/>
  </w:num>
  <w:num w:numId="38" w16cid:durableId="1550537208">
    <w:abstractNumId w:val="36"/>
  </w:num>
  <w:num w:numId="39" w16cid:durableId="1363019207">
    <w:abstractNumId w:val="16"/>
  </w:num>
  <w:num w:numId="40" w16cid:durableId="139049786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MjI2MzI3NzY3NDFX0lEKTi0uzszPAykwqQUAOjcGPCwAAAA="/>
  </w:docVars>
  <w:rsids>
    <w:rsidRoot w:val="00D32C9E"/>
    <w:rsid w:val="000000E1"/>
    <w:rsid w:val="0000023C"/>
    <w:rsid w:val="00000CDC"/>
    <w:rsid w:val="00000DDD"/>
    <w:rsid w:val="0000122F"/>
    <w:rsid w:val="0000197C"/>
    <w:rsid w:val="000019AC"/>
    <w:rsid w:val="00001B5C"/>
    <w:rsid w:val="00001E96"/>
    <w:rsid w:val="00001F88"/>
    <w:rsid w:val="00002073"/>
    <w:rsid w:val="0000235D"/>
    <w:rsid w:val="00002703"/>
    <w:rsid w:val="00002A5A"/>
    <w:rsid w:val="00003AC5"/>
    <w:rsid w:val="00003BCE"/>
    <w:rsid w:val="000043ED"/>
    <w:rsid w:val="000045AF"/>
    <w:rsid w:val="00004A95"/>
    <w:rsid w:val="00004B1A"/>
    <w:rsid w:val="00005ACE"/>
    <w:rsid w:val="00005CB1"/>
    <w:rsid w:val="00005E95"/>
    <w:rsid w:val="00005EAE"/>
    <w:rsid w:val="00006072"/>
    <w:rsid w:val="000060F5"/>
    <w:rsid w:val="00006B1B"/>
    <w:rsid w:val="00006DA4"/>
    <w:rsid w:val="00007293"/>
    <w:rsid w:val="0000761C"/>
    <w:rsid w:val="0000769C"/>
    <w:rsid w:val="00007C6C"/>
    <w:rsid w:val="00007D35"/>
    <w:rsid w:val="0001003F"/>
    <w:rsid w:val="000102B4"/>
    <w:rsid w:val="00010840"/>
    <w:rsid w:val="0001097C"/>
    <w:rsid w:val="00010F65"/>
    <w:rsid w:val="00011D9C"/>
    <w:rsid w:val="00012384"/>
    <w:rsid w:val="000124A4"/>
    <w:rsid w:val="00012741"/>
    <w:rsid w:val="00012762"/>
    <w:rsid w:val="00013258"/>
    <w:rsid w:val="000134F9"/>
    <w:rsid w:val="00013997"/>
    <w:rsid w:val="00013999"/>
    <w:rsid w:val="00013D0E"/>
    <w:rsid w:val="00013E95"/>
    <w:rsid w:val="00013E96"/>
    <w:rsid w:val="000146D3"/>
    <w:rsid w:val="000149E3"/>
    <w:rsid w:val="00014BCA"/>
    <w:rsid w:val="00014C17"/>
    <w:rsid w:val="00014F9C"/>
    <w:rsid w:val="00015723"/>
    <w:rsid w:val="00015860"/>
    <w:rsid w:val="00015B8E"/>
    <w:rsid w:val="00015C0A"/>
    <w:rsid w:val="00015E92"/>
    <w:rsid w:val="00015F2F"/>
    <w:rsid w:val="00015FE0"/>
    <w:rsid w:val="00017634"/>
    <w:rsid w:val="00017861"/>
    <w:rsid w:val="00017DA5"/>
    <w:rsid w:val="00017E2E"/>
    <w:rsid w:val="00020383"/>
    <w:rsid w:val="000205AE"/>
    <w:rsid w:val="000214CC"/>
    <w:rsid w:val="00021C5C"/>
    <w:rsid w:val="00021F48"/>
    <w:rsid w:val="00022EC9"/>
    <w:rsid w:val="000231AC"/>
    <w:rsid w:val="0002360F"/>
    <w:rsid w:val="00023F08"/>
    <w:rsid w:val="000247D1"/>
    <w:rsid w:val="00024B87"/>
    <w:rsid w:val="00024FA9"/>
    <w:rsid w:val="00025C28"/>
    <w:rsid w:val="0002609A"/>
    <w:rsid w:val="0002610A"/>
    <w:rsid w:val="00026243"/>
    <w:rsid w:val="0002674B"/>
    <w:rsid w:val="00026E87"/>
    <w:rsid w:val="00026FA9"/>
    <w:rsid w:val="00027CAD"/>
    <w:rsid w:val="00030209"/>
    <w:rsid w:val="0003038B"/>
    <w:rsid w:val="0003040D"/>
    <w:rsid w:val="000312E8"/>
    <w:rsid w:val="0003153D"/>
    <w:rsid w:val="000316FE"/>
    <w:rsid w:val="0003183E"/>
    <w:rsid w:val="00031971"/>
    <w:rsid w:val="000319ED"/>
    <w:rsid w:val="00031A48"/>
    <w:rsid w:val="00031B62"/>
    <w:rsid w:val="00032324"/>
    <w:rsid w:val="00032893"/>
    <w:rsid w:val="00032A3D"/>
    <w:rsid w:val="00032AEA"/>
    <w:rsid w:val="00032FD9"/>
    <w:rsid w:val="00033992"/>
    <w:rsid w:val="00033DE7"/>
    <w:rsid w:val="00033E27"/>
    <w:rsid w:val="00033F51"/>
    <w:rsid w:val="00033FE7"/>
    <w:rsid w:val="00034634"/>
    <w:rsid w:val="0003485D"/>
    <w:rsid w:val="00034B87"/>
    <w:rsid w:val="000353D7"/>
    <w:rsid w:val="00035523"/>
    <w:rsid w:val="00035B91"/>
    <w:rsid w:val="00035FF9"/>
    <w:rsid w:val="00036309"/>
    <w:rsid w:val="0003635F"/>
    <w:rsid w:val="0003683D"/>
    <w:rsid w:val="000369D6"/>
    <w:rsid w:val="00036C00"/>
    <w:rsid w:val="00036F84"/>
    <w:rsid w:val="000374E3"/>
    <w:rsid w:val="0003786F"/>
    <w:rsid w:val="00037937"/>
    <w:rsid w:val="000379C8"/>
    <w:rsid w:val="00037A67"/>
    <w:rsid w:val="00037C99"/>
    <w:rsid w:val="00037CAD"/>
    <w:rsid w:val="0004050D"/>
    <w:rsid w:val="000409AB"/>
    <w:rsid w:val="00040B2D"/>
    <w:rsid w:val="0004147C"/>
    <w:rsid w:val="000415F0"/>
    <w:rsid w:val="00041713"/>
    <w:rsid w:val="00041AC6"/>
    <w:rsid w:val="000424D1"/>
    <w:rsid w:val="000427CA"/>
    <w:rsid w:val="00043003"/>
    <w:rsid w:val="00043E95"/>
    <w:rsid w:val="0004468F"/>
    <w:rsid w:val="00044778"/>
    <w:rsid w:val="00044F21"/>
    <w:rsid w:val="00044F2A"/>
    <w:rsid w:val="00045906"/>
    <w:rsid w:val="000459A1"/>
    <w:rsid w:val="00045D37"/>
    <w:rsid w:val="00045FAB"/>
    <w:rsid w:val="0004614C"/>
    <w:rsid w:val="000466B3"/>
    <w:rsid w:val="0004686C"/>
    <w:rsid w:val="00046EE8"/>
    <w:rsid w:val="00047C2C"/>
    <w:rsid w:val="00047C73"/>
    <w:rsid w:val="00047EB9"/>
    <w:rsid w:val="00050444"/>
    <w:rsid w:val="00050645"/>
    <w:rsid w:val="000507CC"/>
    <w:rsid w:val="00050DFB"/>
    <w:rsid w:val="00050F6C"/>
    <w:rsid w:val="00051B34"/>
    <w:rsid w:val="00051C12"/>
    <w:rsid w:val="0005291A"/>
    <w:rsid w:val="000532E4"/>
    <w:rsid w:val="00053B13"/>
    <w:rsid w:val="00053BFE"/>
    <w:rsid w:val="00055345"/>
    <w:rsid w:val="00055CA3"/>
    <w:rsid w:val="00055EE0"/>
    <w:rsid w:val="00056084"/>
    <w:rsid w:val="0005618E"/>
    <w:rsid w:val="00056798"/>
    <w:rsid w:val="0005750B"/>
    <w:rsid w:val="000579F9"/>
    <w:rsid w:val="00057EE4"/>
    <w:rsid w:val="00057F7B"/>
    <w:rsid w:val="00060F0F"/>
    <w:rsid w:val="00061E49"/>
    <w:rsid w:val="0006247E"/>
    <w:rsid w:val="000627EB"/>
    <w:rsid w:val="00062815"/>
    <w:rsid w:val="00062889"/>
    <w:rsid w:val="00062BC7"/>
    <w:rsid w:val="00062DDC"/>
    <w:rsid w:val="00063BCA"/>
    <w:rsid w:val="000651D3"/>
    <w:rsid w:val="00065254"/>
    <w:rsid w:val="000659A7"/>
    <w:rsid w:val="00066267"/>
    <w:rsid w:val="0006683C"/>
    <w:rsid w:val="000668A2"/>
    <w:rsid w:val="000668A8"/>
    <w:rsid w:val="00066A33"/>
    <w:rsid w:val="00067D33"/>
    <w:rsid w:val="00070CBC"/>
    <w:rsid w:val="00070F88"/>
    <w:rsid w:val="000713FC"/>
    <w:rsid w:val="00071A66"/>
    <w:rsid w:val="00072003"/>
    <w:rsid w:val="0007276F"/>
    <w:rsid w:val="000733ED"/>
    <w:rsid w:val="00074012"/>
    <w:rsid w:val="00074025"/>
    <w:rsid w:val="00074905"/>
    <w:rsid w:val="00074B5A"/>
    <w:rsid w:val="000755A4"/>
    <w:rsid w:val="000756C2"/>
    <w:rsid w:val="0007585A"/>
    <w:rsid w:val="000758C9"/>
    <w:rsid w:val="00075D12"/>
    <w:rsid w:val="00077CD2"/>
    <w:rsid w:val="00080720"/>
    <w:rsid w:val="00080771"/>
    <w:rsid w:val="000811FF"/>
    <w:rsid w:val="00081CE3"/>
    <w:rsid w:val="00083025"/>
    <w:rsid w:val="000839CA"/>
    <w:rsid w:val="00084357"/>
    <w:rsid w:val="00084461"/>
    <w:rsid w:val="00084C79"/>
    <w:rsid w:val="0008576A"/>
    <w:rsid w:val="00086BAF"/>
    <w:rsid w:val="00086E33"/>
    <w:rsid w:val="00087462"/>
    <w:rsid w:val="00087731"/>
    <w:rsid w:val="000878C2"/>
    <w:rsid w:val="00087C0C"/>
    <w:rsid w:val="00087DA4"/>
    <w:rsid w:val="00090201"/>
    <w:rsid w:val="00090A26"/>
    <w:rsid w:val="00090B48"/>
    <w:rsid w:val="0009153C"/>
    <w:rsid w:val="00091839"/>
    <w:rsid w:val="00091E65"/>
    <w:rsid w:val="000922EB"/>
    <w:rsid w:val="00092311"/>
    <w:rsid w:val="00092A47"/>
    <w:rsid w:val="00092B94"/>
    <w:rsid w:val="00092C65"/>
    <w:rsid w:val="00093729"/>
    <w:rsid w:val="000939BB"/>
    <w:rsid w:val="00093E2E"/>
    <w:rsid w:val="0009400F"/>
    <w:rsid w:val="000942FB"/>
    <w:rsid w:val="00094A99"/>
    <w:rsid w:val="00095140"/>
    <w:rsid w:val="000952CC"/>
    <w:rsid w:val="00095751"/>
    <w:rsid w:val="00095CEE"/>
    <w:rsid w:val="00096005"/>
    <w:rsid w:val="000969A1"/>
    <w:rsid w:val="00096A2A"/>
    <w:rsid w:val="000974CE"/>
    <w:rsid w:val="0009756C"/>
    <w:rsid w:val="000976D4"/>
    <w:rsid w:val="000A044C"/>
    <w:rsid w:val="000A0B9E"/>
    <w:rsid w:val="000A11F1"/>
    <w:rsid w:val="000A16A3"/>
    <w:rsid w:val="000A1CB0"/>
    <w:rsid w:val="000A1D85"/>
    <w:rsid w:val="000A23C0"/>
    <w:rsid w:val="000A2D11"/>
    <w:rsid w:val="000A2D56"/>
    <w:rsid w:val="000A34E0"/>
    <w:rsid w:val="000A37DC"/>
    <w:rsid w:val="000A38D1"/>
    <w:rsid w:val="000A3AA1"/>
    <w:rsid w:val="000A3F00"/>
    <w:rsid w:val="000A3FB5"/>
    <w:rsid w:val="000A4355"/>
    <w:rsid w:val="000A4813"/>
    <w:rsid w:val="000A4913"/>
    <w:rsid w:val="000A53AB"/>
    <w:rsid w:val="000A5D37"/>
    <w:rsid w:val="000A61F6"/>
    <w:rsid w:val="000A667F"/>
    <w:rsid w:val="000A6740"/>
    <w:rsid w:val="000A6B26"/>
    <w:rsid w:val="000A7413"/>
    <w:rsid w:val="000A7479"/>
    <w:rsid w:val="000A7D06"/>
    <w:rsid w:val="000A7D47"/>
    <w:rsid w:val="000B0505"/>
    <w:rsid w:val="000B0AA5"/>
    <w:rsid w:val="000B0F7F"/>
    <w:rsid w:val="000B1F8A"/>
    <w:rsid w:val="000B1FB2"/>
    <w:rsid w:val="000B254D"/>
    <w:rsid w:val="000B2809"/>
    <w:rsid w:val="000B2885"/>
    <w:rsid w:val="000B29B4"/>
    <w:rsid w:val="000B2E11"/>
    <w:rsid w:val="000B2E35"/>
    <w:rsid w:val="000B2EA2"/>
    <w:rsid w:val="000B3001"/>
    <w:rsid w:val="000B3649"/>
    <w:rsid w:val="000B3B3D"/>
    <w:rsid w:val="000B41FA"/>
    <w:rsid w:val="000B5588"/>
    <w:rsid w:val="000B570B"/>
    <w:rsid w:val="000B57BA"/>
    <w:rsid w:val="000B580A"/>
    <w:rsid w:val="000B5A2E"/>
    <w:rsid w:val="000B5CD4"/>
    <w:rsid w:val="000B5F7D"/>
    <w:rsid w:val="000B647F"/>
    <w:rsid w:val="000B6D50"/>
    <w:rsid w:val="000B7166"/>
    <w:rsid w:val="000B72BF"/>
    <w:rsid w:val="000B738E"/>
    <w:rsid w:val="000B7861"/>
    <w:rsid w:val="000B7D88"/>
    <w:rsid w:val="000C02D5"/>
    <w:rsid w:val="000C1095"/>
    <w:rsid w:val="000C11C6"/>
    <w:rsid w:val="000C11F5"/>
    <w:rsid w:val="000C17C6"/>
    <w:rsid w:val="000C1A15"/>
    <w:rsid w:val="000C1B10"/>
    <w:rsid w:val="000C1DCC"/>
    <w:rsid w:val="000C1F39"/>
    <w:rsid w:val="000C22DE"/>
    <w:rsid w:val="000C24B3"/>
    <w:rsid w:val="000C2BE0"/>
    <w:rsid w:val="000C2DF4"/>
    <w:rsid w:val="000C2E7C"/>
    <w:rsid w:val="000C3529"/>
    <w:rsid w:val="000C3A52"/>
    <w:rsid w:val="000C4247"/>
    <w:rsid w:val="000C4939"/>
    <w:rsid w:val="000C5354"/>
    <w:rsid w:val="000C55B0"/>
    <w:rsid w:val="000C5BD2"/>
    <w:rsid w:val="000C64DE"/>
    <w:rsid w:val="000C66DF"/>
    <w:rsid w:val="000C6A62"/>
    <w:rsid w:val="000C703F"/>
    <w:rsid w:val="000C76D0"/>
    <w:rsid w:val="000C7727"/>
    <w:rsid w:val="000C7E78"/>
    <w:rsid w:val="000C7E7F"/>
    <w:rsid w:val="000D047D"/>
    <w:rsid w:val="000D07B6"/>
    <w:rsid w:val="000D11AE"/>
    <w:rsid w:val="000D12F9"/>
    <w:rsid w:val="000D1564"/>
    <w:rsid w:val="000D15BF"/>
    <w:rsid w:val="000D17DE"/>
    <w:rsid w:val="000D1BD3"/>
    <w:rsid w:val="000D25A8"/>
    <w:rsid w:val="000D2798"/>
    <w:rsid w:val="000D2D2F"/>
    <w:rsid w:val="000D3B16"/>
    <w:rsid w:val="000D3BB4"/>
    <w:rsid w:val="000D441B"/>
    <w:rsid w:val="000D4421"/>
    <w:rsid w:val="000D4A59"/>
    <w:rsid w:val="000D4A73"/>
    <w:rsid w:val="000D4A74"/>
    <w:rsid w:val="000D4EA2"/>
    <w:rsid w:val="000D50BD"/>
    <w:rsid w:val="000D5982"/>
    <w:rsid w:val="000D5C26"/>
    <w:rsid w:val="000D6618"/>
    <w:rsid w:val="000D6753"/>
    <w:rsid w:val="000D683E"/>
    <w:rsid w:val="000D6B29"/>
    <w:rsid w:val="000D7377"/>
    <w:rsid w:val="000D73AC"/>
    <w:rsid w:val="000E0054"/>
    <w:rsid w:val="000E096F"/>
    <w:rsid w:val="000E0AC7"/>
    <w:rsid w:val="000E0C8D"/>
    <w:rsid w:val="000E199F"/>
    <w:rsid w:val="000E1AA8"/>
    <w:rsid w:val="000E22A8"/>
    <w:rsid w:val="000E2CE5"/>
    <w:rsid w:val="000E35A6"/>
    <w:rsid w:val="000E35E7"/>
    <w:rsid w:val="000E44C5"/>
    <w:rsid w:val="000E4E36"/>
    <w:rsid w:val="000E5052"/>
    <w:rsid w:val="000E56F8"/>
    <w:rsid w:val="000E5B6F"/>
    <w:rsid w:val="000E660C"/>
    <w:rsid w:val="000E6655"/>
    <w:rsid w:val="000E6F8D"/>
    <w:rsid w:val="000E72D3"/>
    <w:rsid w:val="000E7679"/>
    <w:rsid w:val="000E7815"/>
    <w:rsid w:val="000E79E3"/>
    <w:rsid w:val="000F03A3"/>
    <w:rsid w:val="000F0581"/>
    <w:rsid w:val="000F0A75"/>
    <w:rsid w:val="000F102E"/>
    <w:rsid w:val="000F1090"/>
    <w:rsid w:val="000F11E4"/>
    <w:rsid w:val="000F17D9"/>
    <w:rsid w:val="000F1921"/>
    <w:rsid w:val="000F1B30"/>
    <w:rsid w:val="000F1D9E"/>
    <w:rsid w:val="000F1F85"/>
    <w:rsid w:val="000F2F17"/>
    <w:rsid w:val="000F35EC"/>
    <w:rsid w:val="000F389B"/>
    <w:rsid w:val="000F4141"/>
    <w:rsid w:val="000F4315"/>
    <w:rsid w:val="000F4F07"/>
    <w:rsid w:val="000F4F28"/>
    <w:rsid w:val="000F5391"/>
    <w:rsid w:val="000F54BD"/>
    <w:rsid w:val="000F6353"/>
    <w:rsid w:val="000F69C0"/>
    <w:rsid w:val="000F6E59"/>
    <w:rsid w:val="000F6F39"/>
    <w:rsid w:val="000F75B3"/>
    <w:rsid w:val="000F7C2A"/>
    <w:rsid w:val="00100637"/>
    <w:rsid w:val="0010113D"/>
    <w:rsid w:val="00101761"/>
    <w:rsid w:val="00101C3E"/>
    <w:rsid w:val="00102685"/>
    <w:rsid w:val="00102992"/>
    <w:rsid w:val="00102ACF"/>
    <w:rsid w:val="001030D7"/>
    <w:rsid w:val="001041EA"/>
    <w:rsid w:val="00104C34"/>
    <w:rsid w:val="00105708"/>
    <w:rsid w:val="00105891"/>
    <w:rsid w:val="0010640D"/>
    <w:rsid w:val="00106F31"/>
    <w:rsid w:val="00107396"/>
    <w:rsid w:val="00107916"/>
    <w:rsid w:val="00107DB7"/>
    <w:rsid w:val="0011026F"/>
    <w:rsid w:val="0011076D"/>
    <w:rsid w:val="001108AE"/>
    <w:rsid w:val="001108F8"/>
    <w:rsid w:val="00111963"/>
    <w:rsid w:val="0011247C"/>
    <w:rsid w:val="00112560"/>
    <w:rsid w:val="00112FCD"/>
    <w:rsid w:val="00113396"/>
    <w:rsid w:val="00113C74"/>
    <w:rsid w:val="00113D1A"/>
    <w:rsid w:val="00113F0A"/>
    <w:rsid w:val="0011427D"/>
    <w:rsid w:val="001142B1"/>
    <w:rsid w:val="0011470D"/>
    <w:rsid w:val="00115312"/>
    <w:rsid w:val="001153D1"/>
    <w:rsid w:val="00115A7B"/>
    <w:rsid w:val="00115D26"/>
    <w:rsid w:val="00116FB2"/>
    <w:rsid w:val="00117368"/>
    <w:rsid w:val="00117415"/>
    <w:rsid w:val="00117905"/>
    <w:rsid w:val="00117CA8"/>
    <w:rsid w:val="00117D58"/>
    <w:rsid w:val="00117D64"/>
    <w:rsid w:val="00117E06"/>
    <w:rsid w:val="001213B1"/>
    <w:rsid w:val="0012153A"/>
    <w:rsid w:val="0012158D"/>
    <w:rsid w:val="0012173A"/>
    <w:rsid w:val="00121B5D"/>
    <w:rsid w:val="00121C98"/>
    <w:rsid w:val="00121F73"/>
    <w:rsid w:val="0012211D"/>
    <w:rsid w:val="0012246F"/>
    <w:rsid w:val="00122769"/>
    <w:rsid w:val="0012374D"/>
    <w:rsid w:val="00124B7D"/>
    <w:rsid w:val="001250B0"/>
    <w:rsid w:val="001255FC"/>
    <w:rsid w:val="0012567E"/>
    <w:rsid w:val="00125747"/>
    <w:rsid w:val="0012585A"/>
    <w:rsid w:val="00126352"/>
    <w:rsid w:val="001263B0"/>
    <w:rsid w:val="00126BF2"/>
    <w:rsid w:val="00126DBE"/>
    <w:rsid w:val="00126E72"/>
    <w:rsid w:val="0012719E"/>
    <w:rsid w:val="001277AB"/>
    <w:rsid w:val="00127B0B"/>
    <w:rsid w:val="00127B88"/>
    <w:rsid w:val="00127D4A"/>
    <w:rsid w:val="0013066F"/>
    <w:rsid w:val="001306A5"/>
    <w:rsid w:val="00130904"/>
    <w:rsid w:val="00130A2F"/>
    <w:rsid w:val="00130F3B"/>
    <w:rsid w:val="001310AE"/>
    <w:rsid w:val="00131CD9"/>
    <w:rsid w:val="00132119"/>
    <w:rsid w:val="00132622"/>
    <w:rsid w:val="00132A2F"/>
    <w:rsid w:val="00133901"/>
    <w:rsid w:val="00133AFF"/>
    <w:rsid w:val="0013466E"/>
    <w:rsid w:val="0013479C"/>
    <w:rsid w:val="001348A3"/>
    <w:rsid w:val="00134E02"/>
    <w:rsid w:val="00135BB5"/>
    <w:rsid w:val="00135F96"/>
    <w:rsid w:val="001360DC"/>
    <w:rsid w:val="001360E6"/>
    <w:rsid w:val="001374BA"/>
    <w:rsid w:val="001375A8"/>
    <w:rsid w:val="00140054"/>
    <w:rsid w:val="00140D18"/>
    <w:rsid w:val="00140E4D"/>
    <w:rsid w:val="00140FFE"/>
    <w:rsid w:val="00141870"/>
    <w:rsid w:val="001425B8"/>
    <w:rsid w:val="00142846"/>
    <w:rsid w:val="00142FA1"/>
    <w:rsid w:val="0014316A"/>
    <w:rsid w:val="001431C5"/>
    <w:rsid w:val="00143752"/>
    <w:rsid w:val="00143BE8"/>
    <w:rsid w:val="00143D14"/>
    <w:rsid w:val="00144297"/>
    <w:rsid w:val="001449FD"/>
    <w:rsid w:val="00144A35"/>
    <w:rsid w:val="00145814"/>
    <w:rsid w:val="00146775"/>
    <w:rsid w:val="00146EE1"/>
    <w:rsid w:val="00146F14"/>
    <w:rsid w:val="001473D1"/>
    <w:rsid w:val="00147547"/>
    <w:rsid w:val="00147A28"/>
    <w:rsid w:val="00147BAE"/>
    <w:rsid w:val="00147CCF"/>
    <w:rsid w:val="001503B5"/>
    <w:rsid w:val="0015043B"/>
    <w:rsid w:val="00150569"/>
    <w:rsid w:val="00150659"/>
    <w:rsid w:val="00150842"/>
    <w:rsid w:val="00150848"/>
    <w:rsid w:val="0015093B"/>
    <w:rsid w:val="00150E39"/>
    <w:rsid w:val="001515A4"/>
    <w:rsid w:val="001515D6"/>
    <w:rsid w:val="00151EEC"/>
    <w:rsid w:val="001520E1"/>
    <w:rsid w:val="001521FD"/>
    <w:rsid w:val="0015229C"/>
    <w:rsid w:val="00152F0F"/>
    <w:rsid w:val="001535EA"/>
    <w:rsid w:val="00153703"/>
    <w:rsid w:val="00154208"/>
    <w:rsid w:val="001542A2"/>
    <w:rsid w:val="001542AF"/>
    <w:rsid w:val="0015451D"/>
    <w:rsid w:val="0015464D"/>
    <w:rsid w:val="001547D9"/>
    <w:rsid w:val="00154BCD"/>
    <w:rsid w:val="00154C17"/>
    <w:rsid w:val="001558B9"/>
    <w:rsid w:val="0015656C"/>
    <w:rsid w:val="001568D9"/>
    <w:rsid w:val="00156BD7"/>
    <w:rsid w:val="00156FA3"/>
    <w:rsid w:val="00157231"/>
    <w:rsid w:val="001575E2"/>
    <w:rsid w:val="001575F1"/>
    <w:rsid w:val="001576CC"/>
    <w:rsid w:val="00157BD8"/>
    <w:rsid w:val="0016025E"/>
    <w:rsid w:val="001607DD"/>
    <w:rsid w:val="0016082C"/>
    <w:rsid w:val="00160977"/>
    <w:rsid w:val="00160BF9"/>
    <w:rsid w:val="00160E39"/>
    <w:rsid w:val="00160FA0"/>
    <w:rsid w:val="00161095"/>
    <w:rsid w:val="0016148C"/>
    <w:rsid w:val="00161F67"/>
    <w:rsid w:val="00161FD9"/>
    <w:rsid w:val="00162875"/>
    <w:rsid w:val="00162A42"/>
    <w:rsid w:val="00162AF3"/>
    <w:rsid w:val="00162DA3"/>
    <w:rsid w:val="00163046"/>
    <w:rsid w:val="00163706"/>
    <w:rsid w:val="00163E0F"/>
    <w:rsid w:val="00164C00"/>
    <w:rsid w:val="00165080"/>
    <w:rsid w:val="001653A4"/>
    <w:rsid w:val="001656C3"/>
    <w:rsid w:val="0016592F"/>
    <w:rsid w:val="00166190"/>
    <w:rsid w:val="001663E8"/>
    <w:rsid w:val="00166609"/>
    <w:rsid w:val="00166987"/>
    <w:rsid w:val="00166F26"/>
    <w:rsid w:val="00167779"/>
    <w:rsid w:val="001703EA"/>
    <w:rsid w:val="001704E3"/>
    <w:rsid w:val="00170646"/>
    <w:rsid w:val="00171452"/>
    <w:rsid w:val="0017251E"/>
    <w:rsid w:val="001726E4"/>
    <w:rsid w:val="00172930"/>
    <w:rsid w:val="00173293"/>
    <w:rsid w:val="00173A6D"/>
    <w:rsid w:val="00173C66"/>
    <w:rsid w:val="00173ECE"/>
    <w:rsid w:val="00173EEF"/>
    <w:rsid w:val="00174B46"/>
    <w:rsid w:val="00174DBB"/>
    <w:rsid w:val="00176366"/>
    <w:rsid w:val="001765B1"/>
    <w:rsid w:val="001775E9"/>
    <w:rsid w:val="00177794"/>
    <w:rsid w:val="00177E17"/>
    <w:rsid w:val="00180249"/>
    <w:rsid w:val="001807DA"/>
    <w:rsid w:val="00180A8C"/>
    <w:rsid w:val="00180C8E"/>
    <w:rsid w:val="00180CE9"/>
    <w:rsid w:val="00180E76"/>
    <w:rsid w:val="001811AD"/>
    <w:rsid w:val="00181437"/>
    <w:rsid w:val="00181674"/>
    <w:rsid w:val="00181839"/>
    <w:rsid w:val="00181AB2"/>
    <w:rsid w:val="00182A03"/>
    <w:rsid w:val="00183668"/>
    <w:rsid w:val="00183720"/>
    <w:rsid w:val="00183F62"/>
    <w:rsid w:val="00184323"/>
    <w:rsid w:val="00184469"/>
    <w:rsid w:val="001850E9"/>
    <w:rsid w:val="00185128"/>
    <w:rsid w:val="00185AB1"/>
    <w:rsid w:val="00185F4A"/>
    <w:rsid w:val="00186654"/>
    <w:rsid w:val="00186755"/>
    <w:rsid w:val="0018680F"/>
    <w:rsid w:val="001869FE"/>
    <w:rsid w:val="00186F47"/>
    <w:rsid w:val="00187261"/>
    <w:rsid w:val="00187822"/>
    <w:rsid w:val="00187DB0"/>
    <w:rsid w:val="00187DE1"/>
    <w:rsid w:val="00187E13"/>
    <w:rsid w:val="00191552"/>
    <w:rsid w:val="001915AF"/>
    <w:rsid w:val="0019214F"/>
    <w:rsid w:val="00192479"/>
    <w:rsid w:val="00192715"/>
    <w:rsid w:val="00192799"/>
    <w:rsid w:val="00192E35"/>
    <w:rsid w:val="001935D3"/>
    <w:rsid w:val="00193958"/>
    <w:rsid w:val="00193E74"/>
    <w:rsid w:val="00194250"/>
    <w:rsid w:val="00194306"/>
    <w:rsid w:val="00194385"/>
    <w:rsid w:val="001946D8"/>
    <w:rsid w:val="00194774"/>
    <w:rsid w:val="001949D0"/>
    <w:rsid w:val="00194E8D"/>
    <w:rsid w:val="00194F47"/>
    <w:rsid w:val="001951CC"/>
    <w:rsid w:val="001963BC"/>
    <w:rsid w:val="001968B8"/>
    <w:rsid w:val="00196E46"/>
    <w:rsid w:val="00197034"/>
    <w:rsid w:val="0019715C"/>
    <w:rsid w:val="00197C3B"/>
    <w:rsid w:val="00197DCA"/>
    <w:rsid w:val="001A0411"/>
    <w:rsid w:val="001A04C6"/>
    <w:rsid w:val="001A0A03"/>
    <w:rsid w:val="001A0A57"/>
    <w:rsid w:val="001A1668"/>
    <w:rsid w:val="001A1721"/>
    <w:rsid w:val="001A18EE"/>
    <w:rsid w:val="001A1A6F"/>
    <w:rsid w:val="001A252C"/>
    <w:rsid w:val="001A32C6"/>
    <w:rsid w:val="001A40DC"/>
    <w:rsid w:val="001A4181"/>
    <w:rsid w:val="001A541E"/>
    <w:rsid w:val="001A5DC1"/>
    <w:rsid w:val="001A6A36"/>
    <w:rsid w:val="001A6F83"/>
    <w:rsid w:val="001A724B"/>
    <w:rsid w:val="001A7582"/>
    <w:rsid w:val="001A7EAF"/>
    <w:rsid w:val="001B0456"/>
    <w:rsid w:val="001B0EB5"/>
    <w:rsid w:val="001B111E"/>
    <w:rsid w:val="001B131A"/>
    <w:rsid w:val="001B17C4"/>
    <w:rsid w:val="001B1894"/>
    <w:rsid w:val="001B25A3"/>
    <w:rsid w:val="001B261C"/>
    <w:rsid w:val="001B2B9B"/>
    <w:rsid w:val="001B2BE0"/>
    <w:rsid w:val="001B3014"/>
    <w:rsid w:val="001B3628"/>
    <w:rsid w:val="001B3975"/>
    <w:rsid w:val="001B3B12"/>
    <w:rsid w:val="001B424D"/>
    <w:rsid w:val="001B475F"/>
    <w:rsid w:val="001B4775"/>
    <w:rsid w:val="001B48E0"/>
    <w:rsid w:val="001B4999"/>
    <w:rsid w:val="001B4C60"/>
    <w:rsid w:val="001B507E"/>
    <w:rsid w:val="001B5905"/>
    <w:rsid w:val="001B5B78"/>
    <w:rsid w:val="001B5C35"/>
    <w:rsid w:val="001B5E95"/>
    <w:rsid w:val="001B613A"/>
    <w:rsid w:val="001B61C9"/>
    <w:rsid w:val="001B682A"/>
    <w:rsid w:val="001B707D"/>
    <w:rsid w:val="001B70D4"/>
    <w:rsid w:val="001B7C5D"/>
    <w:rsid w:val="001B7E44"/>
    <w:rsid w:val="001C0186"/>
    <w:rsid w:val="001C103E"/>
    <w:rsid w:val="001C1224"/>
    <w:rsid w:val="001C151A"/>
    <w:rsid w:val="001C1B1C"/>
    <w:rsid w:val="001C1BF4"/>
    <w:rsid w:val="001C200E"/>
    <w:rsid w:val="001C225F"/>
    <w:rsid w:val="001C27C6"/>
    <w:rsid w:val="001C27E2"/>
    <w:rsid w:val="001C2CF9"/>
    <w:rsid w:val="001C40B4"/>
    <w:rsid w:val="001C45F1"/>
    <w:rsid w:val="001C53C2"/>
    <w:rsid w:val="001C558C"/>
    <w:rsid w:val="001C57F6"/>
    <w:rsid w:val="001C5A0D"/>
    <w:rsid w:val="001C6AA9"/>
    <w:rsid w:val="001C6C42"/>
    <w:rsid w:val="001C6F50"/>
    <w:rsid w:val="001C73FB"/>
    <w:rsid w:val="001C7AA1"/>
    <w:rsid w:val="001C7C3D"/>
    <w:rsid w:val="001D04B0"/>
    <w:rsid w:val="001D0714"/>
    <w:rsid w:val="001D1187"/>
    <w:rsid w:val="001D137F"/>
    <w:rsid w:val="001D159D"/>
    <w:rsid w:val="001D164A"/>
    <w:rsid w:val="001D1A25"/>
    <w:rsid w:val="001D1CEE"/>
    <w:rsid w:val="001D1D09"/>
    <w:rsid w:val="001D1F3D"/>
    <w:rsid w:val="001D2168"/>
    <w:rsid w:val="001D21F6"/>
    <w:rsid w:val="001D2624"/>
    <w:rsid w:val="001D2B00"/>
    <w:rsid w:val="001D2B2C"/>
    <w:rsid w:val="001D33E1"/>
    <w:rsid w:val="001D3B9C"/>
    <w:rsid w:val="001D438F"/>
    <w:rsid w:val="001D449D"/>
    <w:rsid w:val="001D494A"/>
    <w:rsid w:val="001D4D06"/>
    <w:rsid w:val="001D5B9D"/>
    <w:rsid w:val="001D6368"/>
    <w:rsid w:val="001D64DF"/>
    <w:rsid w:val="001D7767"/>
    <w:rsid w:val="001D7897"/>
    <w:rsid w:val="001E076E"/>
    <w:rsid w:val="001E0AF8"/>
    <w:rsid w:val="001E0B04"/>
    <w:rsid w:val="001E1173"/>
    <w:rsid w:val="001E1186"/>
    <w:rsid w:val="001E13EC"/>
    <w:rsid w:val="001E16AD"/>
    <w:rsid w:val="001E181F"/>
    <w:rsid w:val="001E1A75"/>
    <w:rsid w:val="001E1C43"/>
    <w:rsid w:val="001E1E80"/>
    <w:rsid w:val="001E232C"/>
    <w:rsid w:val="001E25AD"/>
    <w:rsid w:val="001E26B1"/>
    <w:rsid w:val="001E2A7C"/>
    <w:rsid w:val="001E2AB0"/>
    <w:rsid w:val="001E2BAA"/>
    <w:rsid w:val="001E347B"/>
    <w:rsid w:val="001E349E"/>
    <w:rsid w:val="001E3652"/>
    <w:rsid w:val="001E39F2"/>
    <w:rsid w:val="001E3CDD"/>
    <w:rsid w:val="001E3EC1"/>
    <w:rsid w:val="001E59FE"/>
    <w:rsid w:val="001E5BA7"/>
    <w:rsid w:val="001E68F8"/>
    <w:rsid w:val="001E6B11"/>
    <w:rsid w:val="001E726C"/>
    <w:rsid w:val="001E75D9"/>
    <w:rsid w:val="001F0B3B"/>
    <w:rsid w:val="001F0B6C"/>
    <w:rsid w:val="001F1388"/>
    <w:rsid w:val="001F1403"/>
    <w:rsid w:val="001F1D1E"/>
    <w:rsid w:val="001F2750"/>
    <w:rsid w:val="001F3059"/>
    <w:rsid w:val="001F341D"/>
    <w:rsid w:val="001F377B"/>
    <w:rsid w:val="001F3BAA"/>
    <w:rsid w:val="001F4260"/>
    <w:rsid w:val="001F4B68"/>
    <w:rsid w:val="001F4CEC"/>
    <w:rsid w:val="001F4F96"/>
    <w:rsid w:val="001F5465"/>
    <w:rsid w:val="001F5A52"/>
    <w:rsid w:val="001F6490"/>
    <w:rsid w:val="001F676D"/>
    <w:rsid w:val="001F6CF4"/>
    <w:rsid w:val="001F70C9"/>
    <w:rsid w:val="001F71E9"/>
    <w:rsid w:val="001F74F7"/>
    <w:rsid w:val="001F784F"/>
    <w:rsid w:val="001F7C93"/>
    <w:rsid w:val="001F7CB0"/>
    <w:rsid w:val="001F7D2C"/>
    <w:rsid w:val="0020072D"/>
    <w:rsid w:val="00200C16"/>
    <w:rsid w:val="00200F04"/>
    <w:rsid w:val="00201DCA"/>
    <w:rsid w:val="00201F6A"/>
    <w:rsid w:val="002037BA"/>
    <w:rsid w:val="00203983"/>
    <w:rsid w:val="002039F6"/>
    <w:rsid w:val="002046FC"/>
    <w:rsid w:val="00204A8F"/>
    <w:rsid w:val="002059B8"/>
    <w:rsid w:val="00205BB8"/>
    <w:rsid w:val="00205D20"/>
    <w:rsid w:val="00205D60"/>
    <w:rsid w:val="00205D7E"/>
    <w:rsid w:val="002061AA"/>
    <w:rsid w:val="002062F2"/>
    <w:rsid w:val="00206717"/>
    <w:rsid w:val="0020678F"/>
    <w:rsid w:val="002070E5"/>
    <w:rsid w:val="00207DDE"/>
    <w:rsid w:val="00210801"/>
    <w:rsid w:val="00210E34"/>
    <w:rsid w:val="0021143D"/>
    <w:rsid w:val="00211EB5"/>
    <w:rsid w:val="00211FAE"/>
    <w:rsid w:val="00211FE5"/>
    <w:rsid w:val="0021242E"/>
    <w:rsid w:val="00212717"/>
    <w:rsid w:val="002127E8"/>
    <w:rsid w:val="00212B89"/>
    <w:rsid w:val="00213260"/>
    <w:rsid w:val="00214F47"/>
    <w:rsid w:val="00215854"/>
    <w:rsid w:val="0021593A"/>
    <w:rsid w:val="00215BFB"/>
    <w:rsid w:val="0021605C"/>
    <w:rsid w:val="00216347"/>
    <w:rsid w:val="002166A9"/>
    <w:rsid w:val="00216AFF"/>
    <w:rsid w:val="00216B8D"/>
    <w:rsid w:val="00216FDA"/>
    <w:rsid w:val="002171F4"/>
    <w:rsid w:val="0021750B"/>
    <w:rsid w:val="002175CC"/>
    <w:rsid w:val="00220318"/>
    <w:rsid w:val="00220665"/>
    <w:rsid w:val="002207FA"/>
    <w:rsid w:val="0022092B"/>
    <w:rsid w:val="002209D6"/>
    <w:rsid w:val="00220BA1"/>
    <w:rsid w:val="00220D84"/>
    <w:rsid w:val="00220D90"/>
    <w:rsid w:val="00220E71"/>
    <w:rsid w:val="00220ED5"/>
    <w:rsid w:val="00221221"/>
    <w:rsid w:val="00221291"/>
    <w:rsid w:val="00222603"/>
    <w:rsid w:val="002226DF"/>
    <w:rsid w:val="002227A9"/>
    <w:rsid w:val="002227C2"/>
    <w:rsid w:val="00222907"/>
    <w:rsid w:val="002229A3"/>
    <w:rsid w:val="002229F4"/>
    <w:rsid w:val="00222D33"/>
    <w:rsid w:val="00222E28"/>
    <w:rsid w:val="0022356E"/>
    <w:rsid w:val="00223E0A"/>
    <w:rsid w:val="00224008"/>
    <w:rsid w:val="002243EC"/>
    <w:rsid w:val="00224790"/>
    <w:rsid w:val="00224AC0"/>
    <w:rsid w:val="00224B03"/>
    <w:rsid w:val="00225313"/>
    <w:rsid w:val="002254FB"/>
    <w:rsid w:val="00225555"/>
    <w:rsid w:val="00225A24"/>
    <w:rsid w:val="00225D4D"/>
    <w:rsid w:val="002266FF"/>
    <w:rsid w:val="002270C7"/>
    <w:rsid w:val="00227395"/>
    <w:rsid w:val="002274BB"/>
    <w:rsid w:val="00227B65"/>
    <w:rsid w:val="00227DCE"/>
    <w:rsid w:val="002305CE"/>
    <w:rsid w:val="00230766"/>
    <w:rsid w:val="00230C78"/>
    <w:rsid w:val="00230C8A"/>
    <w:rsid w:val="00232065"/>
    <w:rsid w:val="002325F0"/>
    <w:rsid w:val="0023261B"/>
    <w:rsid w:val="002328F1"/>
    <w:rsid w:val="00232B4D"/>
    <w:rsid w:val="002332DB"/>
    <w:rsid w:val="0023423E"/>
    <w:rsid w:val="002342B1"/>
    <w:rsid w:val="002344BC"/>
    <w:rsid w:val="00234DE1"/>
    <w:rsid w:val="00234E87"/>
    <w:rsid w:val="002351BB"/>
    <w:rsid w:val="0023565B"/>
    <w:rsid w:val="0023583A"/>
    <w:rsid w:val="00235D1E"/>
    <w:rsid w:val="00235F0D"/>
    <w:rsid w:val="00235F4D"/>
    <w:rsid w:val="0023668A"/>
    <w:rsid w:val="00236B22"/>
    <w:rsid w:val="00236D52"/>
    <w:rsid w:val="0023705B"/>
    <w:rsid w:val="00237BBC"/>
    <w:rsid w:val="002405AE"/>
    <w:rsid w:val="00240B5F"/>
    <w:rsid w:val="00240BDA"/>
    <w:rsid w:val="00240C0E"/>
    <w:rsid w:val="00241418"/>
    <w:rsid w:val="002417A9"/>
    <w:rsid w:val="00241A3D"/>
    <w:rsid w:val="00241F24"/>
    <w:rsid w:val="002420E8"/>
    <w:rsid w:val="00242444"/>
    <w:rsid w:val="0024289B"/>
    <w:rsid w:val="00243A3C"/>
    <w:rsid w:val="00243C52"/>
    <w:rsid w:val="00243CE4"/>
    <w:rsid w:val="00244EF0"/>
    <w:rsid w:val="00245102"/>
    <w:rsid w:val="002452C6"/>
    <w:rsid w:val="0024551B"/>
    <w:rsid w:val="00245EB4"/>
    <w:rsid w:val="002460FB"/>
    <w:rsid w:val="00246405"/>
    <w:rsid w:val="00247377"/>
    <w:rsid w:val="002477F7"/>
    <w:rsid w:val="00247CB7"/>
    <w:rsid w:val="00250043"/>
    <w:rsid w:val="002502F6"/>
    <w:rsid w:val="00250B91"/>
    <w:rsid w:val="00251373"/>
    <w:rsid w:val="00251ED5"/>
    <w:rsid w:val="002524E6"/>
    <w:rsid w:val="00252E73"/>
    <w:rsid w:val="002532CE"/>
    <w:rsid w:val="002532FE"/>
    <w:rsid w:val="00253575"/>
    <w:rsid w:val="0025394B"/>
    <w:rsid w:val="002539B5"/>
    <w:rsid w:val="002545F5"/>
    <w:rsid w:val="002550FB"/>
    <w:rsid w:val="002553BB"/>
    <w:rsid w:val="002558F0"/>
    <w:rsid w:val="00255C78"/>
    <w:rsid w:val="00255CC4"/>
    <w:rsid w:val="0025606A"/>
    <w:rsid w:val="0025673D"/>
    <w:rsid w:val="0025697E"/>
    <w:rsid w:val="002569CD"/>
    <w:rsid w:val="00257D12"/>
    <w:rsid w:val="0026046C"/>
    <w:rsid w:val="002616F6"/>
    <w:rsid w:val="002619F9"/>
    <w:rsid w:val="00261B19"/>
    <w:rsid w:val="0026237B"/>
    <w:rsid w:val="00262B04"/>
    <w:rsid w:val="0026385B"/>
    <w:rsid w:val="002639D8"/>
    <w:rsid w:val="002647DB"/>
    <w:rsid w:val="0026488D"/>
    <w:rsid w:val="002657E6"/>
    <w:rsid w:val="002661D8"/>
    <w:rsid w:val="002665FA"/>
    <w:rsid w:val="002668FD"/>
    <w:rsid w:val="00266A06"/>
    <w:rsid w:val="0026702F"/>
    <w:rsid w:val="00267083"/>
    <w:rsid w:val="00267A7D"/>
    <w:rsid w:val="00267A8C"/>
    <w:rsid w:val="0027018F"/>
    <w:rsid w:val="00270D6B"/>
    <w:rsid w:val="00271075"/>
    <w:rsid w:val="00271890"/>
    <w:rsid w:val="00271998"/>
    <w:rsid w:val="00271CEF"/>
    <w:rsid w:val="00271F67"/>
    <w:rsid w:val="00272422"/>
    <w:rsid w:val="00272662"/>
    <w:rsid w:val="00272A66"/>
    <w:rsid w:val="00272E55"/>
    <w:rsid w:val="002730A7"/>
    <w:rsid w:val="002731B2"/>
    <w:rsid w:val="00273253"/>
    <w:rsid w:val="00273BFD"/>
    <w:rsid w:val="00273DAC"/>
    <w:rsid w:val="00274086"/>
    <w:rsid w:val="002740C6"/>
    <w:rsid w:val="0027413F"/>
    <w:rsid w:val="00274909"/>
    <w:rsid w:val="00274BC6"/>
    <w:rsid w:val="00274BDB"/>
    <w:rsid w:val="00274CCF"/>
    <w:rsid w:val="002750D0"/>
    <w:rsid w:val="00275150"/>
    <w:rsid w:val="002755B8"/>
    <w:rsid w:val="00275A18"/>
    <w:rsid w:val="00275F6A"/>
    <w:rsid w:val="0027608C"/>
    <w:rsid w:val="002763FA"/>
    <w:rsid w:val="00276D59"/>
    <w:rsid w:val="00276E62"/>
    <w:rsid w:val="00276EDE"/>
    <w:rsid w:val="00276F26"/>
    <w:rsid w:val="00276F53"/>
    <w:rsid w:val="002779E2"/>
    <w:rsid w:val="00277A22"/>
    <w:rsid w:val="00277ABD"/>
    <w:rsid w:val="00277E1C"/>
    <w:rsid w:val="002800CE"/>
    <w:rsid w:val="00280642"/>
    <w:rsid w:val="002809AB"/>
    <w:rsid w:val="00280A0E"/>
    <w:rsid w:val="00280B8A"/>
    <w:rsid w:val="0028104B"/>
    <w:rsid w:val="0028159F"/>
    <w:rsid w:val="00281603"/>
    <w:rsid w:val="002819E2"/>
    <w:rsid w:val="00281B13"/>
    <w:rsid w:val="00281FDE"/>
    <w:rsid w:val="002821E0"/>
    <w:rsid w:val="00282324"/>
    <w:rsid w:val="00282BBB"/>
    <w:rsid w:val="00282F7F"/>
    <w:rsid w:val="0028333F"/>
    <w:rsid w:val="002840CF"/>
    <w:rsid w:val="00284483"/>
    <w:rsid w:val="002847BD"/>
    <w:rsid w:val="00284885"/>
    <w:rsid w:val="00284CDD"/>
    <w:rsid w:val="002855C3"/>
    <w:rsid w:val="00285E36"/>
    <w:rsid w:val="00285F80"/>
    <w:rsid w:val="002861C6"/>
    <w:rsid w:val="00286200"/>
    <w:rsid w:val="002868D7"/>
    <w:rsid w:val="00286FDB"/>
    <w:rsid w:val="002871C0"/>
    <w:rsid w:val="00287876"/>
    <w:rsid w:val="00287A7D"/>
    <w:rsid w:val="00287ABA"/>
    <w:rsid w:val="002909E2"/>
    <w:rsid w:val="00291275"/>
    <w:rsid w:val="00292153"/>
    <w:rsid w:val="002924AA"/>
    <w:rsid w:val="00292965"/>
    <w:rsid w:val="00292DBF"/>
    <w:rsid w:val="00293531"/>
    <w:rsid w:val="00293C85"/>
    <w:rsid w:val="00294335"/>
    <w:rsid w:val="00294CFE"/>
    <w:rsid w:val="00295305"/>
    <w:rsid w:val="00295BA1"/>
    <w:rsid w:val="0029606A"/>
    <w:rsid w:val="00296326"/>
    <w:rsid w:val="002964CC"/>
    <w:rsid w:val="002966CA"/>
    <w:rsid w:val="00296774"/>
    <w:rsid w:val="002973E4"/>
    <w:rsid w:val="00297824"/>
    <w:rsid w:val="002A0517"/>
    <w:rsid w:val="002A08AC"/>
    <w:rsid w:val="002A0A81"/>
    <w:rsid w:val="002A1903"/>
    <w:rsid w:val="002A1BF4"/>
    <w:rsid w:val="002A1C9E"/>
    <w:rsid w:val="002A1DBB"/>
    <w:rsid w:val="002A2A3F"/>
    <w:rsid w:val="002A2BDA"/>
    <w:rsid w:val="002A342A"/>
    <w:rsid w:val="002A37AF"/>
    <w:rsid w:val="002A3AB5"/>
    <w:rsid w:val="002A3C18"/>
    <w:rsid w:val="002A3FD1"/>
    <w:rsid w:val="002A4025"/>
    <w:rsid w:val="002A425C"/>
    <w:rsid w:val="002A4989"/>
    <w:rsid w:val="002A4C3F"/>
    <w:rsid w:val="002A4D4A"/>
    <w:rsid w:val="002A527B"/>
    <w:rsid w:val="002A535D"/>
    <w:rsid w:val="002A5411"/>
    <w:rsid w:val="002A5530"/>
    <w:rsid w:val="002A5D2B"/>
    <w:rsid w:val="002A602B"/>
    <w:rsid w:val="002A6151"/>
    <w:rsid w:val="002A672A"/>
    <w:rsid w:val="002A697C"/>
    <w:rsid w:val="002A6B2C"/>
    <w:rsid w:val="002A6C0F"/>
    <w:rsid w:val="002A726A"/>
    <w:rsid w:val="002A76CB"/>
    <w:rsid w:val="002A76FD"/>
    <w:rsid w:val="002A7793"/>
    <w:rsid w:val="002A7F14"/>
    <w:rsid w:val="002B05EA"/>
    <w:rsid w:val="002B0D90"/>
    <w:rsid w:val="002B0E11"/>
    <w:rsid w:val="002B1811"/>
    <w:rsid w:val="002B1A72"/>
    <w:rsid w:val="002B1D9C"/>
    <w:rsid w:val="002B213B"/>
    <w:rsid w:val="002B3871"/>
    <w:rsid w:val="002B38B2"/>
    <w:rsid w:val="002B44D5"/>
    <w:rsid w:val="002B4972"/>
    <w:rsid w:val="002B5181"/>
    <w:rsid w:val="002B5947"/>
    <w:rsid w:val="002B6316"/>
    <w:rsid w:val="002B64D9"/>
    <w:rsid w:val="002B65D3"/>
    <w:rsid w:val="002B6686"/>
    <w:rsid w:val="002B686C"/>
    <w:rsid w:val="002B6917"/>
    <w:rsid w:val="002B6C7A"/>
    <w:rsid w:val="002B72B1"/>
    <w:rsid w:val="002B7907"/>
    <w:rsid w:val="002B7EB8"/>
    <w:rsid w:val="002B7F37"/>
    <w:rsid w:val="002C0159"/>
    <w:rsid w:val="002C072A"/>
    <w:rsid w:val="002C07AA"/>
    <w:rsid w:val="002C132C"/>
    <w:rsid w:val="002C1BC7"/>
    <w:rsid w:val="002C224E"/>
    <w:rsid w:val="002C293C"/>
    <w:rsid w:val="002C2FDB"/>
    <w:rsid w:val="002C3164"/>
    <w:rsid w:val="002C34CF"/>
    <w:rsid w:val="002C3BC5"/>
    <w:rsid w:val="002C3C80"/>
    <w:rsid w:val="002C3DBF"/>
    <w:rsid w:val="002C5580"/>
    <w:rsid w:val="002C576B"/>
    <w:rsid w:val="002C5A47"/>
    <w:rsid w:val="002C5B09"/>
    <w:rsid w:val="002C6361"/>
    <w:rsid w:val="002C6807"/>
    <w:rsid w:val="002C692B"/>
    <w:rsid w:val="002C6B4A"/>
    <w:rsid w:val="002C6E0D"/>
    <w:rsid w:val="002C79E9"/>
    <w:rsid w:val="002D0561"/>
    <w:rsid w:val="002D065C"/>
    <w:rsid w:val="002D0D2B"/>
    <w:rsid w:val="002D0FAE"/>
    <w:rsid w:val="002D1FF3"/>
    <w:rsid w:val="002D2606"/>
    <w:rsid w:val="002D263F"/>
    <w:rsid w:val="002D27CD"/>
    <w:rsid w:val="002D2B8F"/>
    <w:rsid w:val="002D2DC7"/>
    <w:rsid w:val="002D321B"/>
    <w:rsid w:val="002D3C74"/>
    <w:rsid w:val="002D42A0"/>
    <w:rsid w:val="002D457D"/>
    <w:rsid w:val="002D51DE"/>
    <w:rsid w:val="002D57F7"/>
    <w:rsid w:val="002D593F"/>
    <w:rsid w:val="002D5E96"/>
    <w:rsid w:val="002D6100"/>
    <w:rsid w:val="002D6D52"/>
    <w:rsid w:val="002D6F46"/>
    <w:rsid w:val="002D744C"/>
    <w:rsid w:val="002D766C"/>
    <w:rsid w:val="002D7ABB"/>
    <w:rsid w:val="002E015B"/>
    <w:rsid w:val="002E0E23"/>
    <w:rsid w:val="002E0F3F"/>
    <w:rsid w:val="002E0FF9"/>
    <w:rsid w:val="002E1154"/>
    <w:rsid w:val="002E1569"/>
    <w:rsid w:val="002E2A5A"/>
    <w:rsid w:val="002E3AEF"/>
    <w:rsid w:val="002E3BF9"/>
    <w:rsid w:val="002E41A9"/>
    <w:rsid w:val="002E4529"/>
    <w:rsid w:val="002E47C6"/>
    <w:rsid w:val="002E50D4"/>
    <w:rsid w:val="002E610B"/>
    <w:rsid w:val="002E6592"/>
    <w:rsid w:val="002E65D0"/>
    <w:rsid w:val="002E6DD3"/>
    <w:rsid w:val="002E73DD"/>
    <w:rsid w:val="002E7454"/>
    <w:rsid w:val="002E756D"/>
    <w:rsid w:val="002E7751"/>
    <w:rsid w:val="002E778B"/>
    <w:rsid w:val="002E7CE9"/>
    <w:rsid w:val="002F0012"/>
    <w:rsid w:val="002F075D"/>
    <w:rsid w:val="002F07A8"/>
    <w:rsid w:val="002F0E35"/>
    <w:rsid w:val="002F1C44"/>
    <w:rsid w:val="002F20F8"/>
    <w:rsid w:val="002F2138"/>
    <w:rsid w:val="002F24AB"/>
    <w:rsid w:val="002F2864"/>
    <w:rsid w:val="002F2BE9"/>
    <w:rsid w:val="002F313C"/>
    <w:rsid w:val="002F3292"/>
    <w:rsid w:val="002F3620"/>
    <w:rsid w:val="002F3627"/>
    <w:rsid w:val="002F36DD"/>
    <w:rsid w:val="002F3F7C"/>
    <w:rsid w:val="002F4892"/>
    <w:rsid w:val="002F4AF4"/>
    <w:rsid w:val="002F4D70"/>
    <w:rsid w:val="002F51FC"/>
    <w:rsid w:val="002F5478"/>
    <w:rsid w:val="002F54EE"/>
    <w:rsid w:val="002F5572"/>
    <w:rsid w:val="002F570A"/>
    <w:rsid w:val="002F5B8E"/>
    <w:rsid w:val="002F5BFE"/>
    <w:rsid w:val="002F5E83"/>
    <w:rsid w:val="002F6EDB"/>
    <w:rsid w:val="002F708A"/>
    <w:rsid w:val="002F79EC"/>
    <w:rsid w:val="0030048E"/>
    <w:rsid w:val="00300618"/>
    <w:rsid w:val="003006B9"/>
    <w:rsid w:val="00300791"/>
    <w:rsid w:val="00300DA3"/>
    <w:rsid w:val="00301629"/>
    <w:rsid w:val="00302066"/>
    <w:rsid w:val="003022C7"/>
    <w:rsid w:val="0030334A"/>
    <w:rsid w:val="003033F3"/>
    <w:rsid w:val="00303460"/>
    <w:rsid w:val="0030354C"/>
    <w:rsid w:val="003039C9"/>
    <w:rsid w:val="00303C57"/>
    <w:rsid w:val="00303CBC"/>
    <w:rsid w:val="003049F4"/>
    <w:rsid w:val="00304CBE"/>
    <w:rsid w:val="003051A2"/>
    <w:rsid w:val="00305668"/>
    <w:rsid w:val="00305752"/>
    <w:rsid w:val="003059F2"/>
    <w:rsid w:val="00305B2A"/>
    <w:rsid w:val="00305F7D"/>
    <w:rsid w:val="003060BC"/>
    <w:rsid w:val="003060F5"/>
    <w:rsid w:val="003067E0"/>
    <w:rsid w:val="0030766A"/>
    <w:rsid w:val="003077A5"/>
    <w:rsid w:val="00307B49"/>
    <w:rsid w:val="00307EA1"/>
    <w:rsid w:val="003108B1"/>
    <w:rsid w:val="003112A2"/>
    <w:rsid w:val="00311496"/>
    <w:rsid w:val="00311C7B"/>
    <w:rsid w:val="00312760"/>
    <w:rsid w:val="0031313E"/>
    <w:rsid w:val="003135A2"/>
    <w:rsid w:val="0031373C"/>
    <w:rsid w:val="00313819"/>
    <w:rsid w:val="0031390C"/>
    <w:rsid w:val="00313A09"/>
    <w:rsid w:val="00313AA8"/>
    <w:rsid w:val="00313EA4"/>
    <w:rsid w:val="00314230"/>
    <w:rsid w:val="003145DE"/>
    <w:rsid w:val="00314BE3"/>
    <w:rsid w:val="00314EB7"/>
    <w:rsid w:val="00316C74"/>
    <w:rsid w:val="00316F4B"/>
    <w:rsid w:val="00317171"/>
    <w:rsid w:val="00317329"/>
    <w:rsid w:val="00320113"/>
    <w:rsid w:val="00321250"/>
    <w:rsid w:val="0032128B"/>
    <w:rsid w:val="0032129E"/>
    <w:rsid w:val="00321795"/>
    <w:rsid w:val="00321A17"/>
    <w:rsid w:val="00321CBB"/>
    <w:rsid w:val="00321CE3"/>
    <w:rsid w:val="00322241"/>
    <w:rsid w:val="00322C35"/>
    <w:rsid w:val="00323AE4"/>
    <w:rsid w:val="00324670"/>
    <w:rsid w:val="00324688"/>
    <w:rsid w:val="00324C12"/>
    <w:rsid w:val="00325393"/>
    <w:rsid w:val="00325422"/>
    <w:rsid w:val="00325459"/>
    <w:rsid w:val="003254AC"/>
    <w:rsid w:val="003256CE"/>
    <w:rsid w:val="0032580C"/>
    <w:rsid w:val="00326304"/>
    <w:rsid w:val="0032689B"/>
    <w:rsid w:val="00327258"/>
    <w:rsid w:val="003275EA"/>
    <w:rsid w:val="00327946"/>
    <w:rsid w:val="00327AD2"/>
    <w:rsid w:val="003301E7"/>
    <w:rsid w:val="00330736"/>
    <w:rsid w:val="00330D68"/>
    <w:rsid w:val="0033195E"/>
    <w:rsid w:val="00331C22"/>
    <w:rsid w:val="003324CE"/>
    <w:rsid w:val="00332783"/>
    <w:rsid w:val="00332847"/>
    <w:rsid w:val="00332D98"/>
    <w:rsid w:val="00332DDA"/>
    <w:rsid w:val="00333280"/>
    <w:rsid w:val="00333422"/>
    <w:rsid w:val="0033376B"/>
    <w:rsid w:val="00333F19"/>
    <w:rsid w:val="0033435D"/>
    <w:rsid w:val="003345CE"/>
    <w:rsid w:val="00334BD5"/>
    <w:rsid w:val="003357BC"/>
    <w:rsid w:val="0033617B"/>
    <w:rsid w:val="0033642D"/>
    <w:rsid w:val="0033679D"/>
    <w:rsid w:val="00337003"/>
    <w:rsid w:val="00337177"/>
    <w:rsid w:val="003375D5"/>
    <w:rsid w:val="0033779C"/>
    <w:rsid w:val="0033788F"/>
    <w:rsid w:val="00337BD3"/>
    <w:rsid w:val="00337F28"/>
    <w:rsid w:val="00340198"/>
    <w:rsid w:val="00340791"/>
    <w:rsid w:val="003408CB"/>
    <w:rsid w:val="00340BB4"/>
    <w:rsid w:val="003413CC"/>
    <w:rsid w:val="00341777"/>
    <w:rsid w:val="0034184E"/>
    <w:rsid w:val="00341E83"/>
    <w:rsid w:val="00342342"/>
    <w:rsid w:val="003424A4"/>
    <w:rsid w:val="003429B2"/>
    <w:rsid w:val="00343250"/>
    <w:rsid w:val="00343837"/>
    <w:rsid w:val="003438CB"/>
    <w:rsid w:val="00343E4C"/>
    <w:rsid w:val="0034499F"/>
    <w:rsid w:val="00344C3F"/>
    <w:rsid w:val="00344F1D"/>
    <w:rsid w:val="00345960"/>
    <w:rsid w:val="00345D77"/>
    <w:rsid w:val="00345D9C"/>
    <w:rsid w:val="003466A1"/>
    <w:rsid w:val="0034729B"/>
    <w:rsid w:val="00350467"/>
    <w:rsid w:val="00350723"/>
    <w:rsid w:val="00351DEB"/>
    <w:rsid w:val="0035202E"/>
    <w:rsid w:val="003520BB"/>
    <w:rsid w:val="003521EC"/>
    <w:rsid w:val="003522A4"/>
    <w:rsid w:val="00352419"/>
    <w:rsid w:val="003524B6"/>
    <w:rsid w:val="00352925"/>
    <w:rsid w:val="00352A4C"/>
    <w:rsid w:val="003536FB"/>
    <w:rsid w:val="003539B4"/>
    <w:rsid w:val="003539E7"/>
    <w:rsid w:val="00353BB5"/>
    <w:rsid w:val="003549F0"/>
    <w:rsid w:val="00354CD0"/>
    <w:rsid w:val="0035531A"/>
    <w:rsid w:val="003558BB"/>
    <w:rsid w:val="00355FD1"/>
    <w:rsid w:val="00356180"/>
    <w:rsid w:val="003576EC"/>
    <w:rsid w:val="003578B0"/>
    <w:rsid w:val="00357B75"/>
    <w:rsid w:val="00357E63"/>
    <w:rsid w:val="00360024"/>
    <w:rsid w:val="00360294"/>
    <w:rsid w:val="00360C8E"/>
    <w:rsid w:val="00361259"/>
    <w:rsid w:val="00361507"/>
    <w:rsid w:val="00362B1D"/>
    <w:rsid w:val="00362BB3"/>
    <w:rsid w:val="00362FC1"/>
    <w:rsid w:val="003636D7"/>
    <w:rsid w:val="00363E20"/>
    <w:rsid w:val="00363E99"/>
    <w:rsid w:val="00364133"/>
    <w:rsid w:val="00364463"/>
    <w:rsid w:val="00364550"/>
    <w:rsid w:val="003646F4"/>
    <w:rsid w:val="0036480C"/>
    <w:rsid w:val="00364844"/>
    <w:rsid w:val="00365545"/>
    <w:rsid w:val="00365696"/>
    <w:rsid w:val="00365A92"/>
    <w:rsid w:val="00365D80"/>
    <w:rsid w:val="00367A66"/>
    <w:rsid w:val="00367B78"/>
    <w:rsid w:val="003703B4"/>
    <w:rsid w:val="00370401"/>
    <w:rsid w:val="00370891"/>
    <w:rsid w:val="00370ADB"/>
    <w:rsid w:val="00370BD2"/>
    <w:rsid w:val="0037187B"/>
    <w:rsid w:val="003719D4"/>
    <w:rsid w:val="00371CF6"/>
    <w:rsid w:val="00372058"/>
    <w:rsid w:val="00372850"/>
    <w:rsid w:val="003736FD"/>
    <w:rsid w:val="0037390C"/>
    <w:rsid w:val="00373AD2"/>
    <w:rsid w:val="00373C59"/>
    <w:rsid w:val="00373F92"/>
    <w:rsid w:val="003742AA"/>
    <w:rsid w:val="003743FD"/>
    <w:rsid w:val="003745D6"/>
    <w:rsid w:val="003746B6"/>
    <w:rsid w:val="003748D3"/>
    <w:rsid w:val="003754B7"/>
    <w:rsid w:val="003761EA"/>
    <w:rsid w:val="00376584"/>
    <w:rsid w:val="00376CBB"/>
    <w:rsid w:val="00376CDA"/>
    <w:rsid w:val="00377152"/>
    <w:rsid w:val="0037739B"/>
    <w:rsid w:val="0037741C"/>
    <w:rsid w:val="00377931"/>
    <w:rsid w:val="00377AD2"/>
    <w:rsid w:val="00377BC8"/>
    <w:rsid w:val="003801BC"/>
    <w:rsid w:val="00380657"/>
    <w:rsid w:val="00380BE1"/>
    <w:rsid w:val="00381C0C"/>
    <w:rsid w:val="0038206C"/>
    <w:rsid w:val="003824EB"/>
    <w:rsid w:val="00382FF9"/>
    <w:rsid w:val="00383253"/>
    <w:rsid w:val="003837F6"/>
    <w:rsid w:val="00383B3E"/>
    <w:rsid w:val="00383ED1"/>
    <w:rsid w:val="00384325"/>
    <w:rsid w:val="003846A2"/>
    <w:rsid w:val="0038491F"/>
    <w:rsid w:val="00385C5C"/>
    <w:rsid w:val="003869B6"/>
    <w:rsid w:val="00386B73"/>
    <w:rsid w:val="00386E86"/>
    <w:rsid w:val="00387A33"/>
    <w:rsid w:val="00390FB3"/>
    <w:rsid w:val="003911F3"/>
    <w:rsid w:val="00391383"/>
    <w:rsid w:val="00391D13"/>
    <w:rsid w:val="00392236"/>
    <w:rsid w:val="00392D95"/>
    <w:rsid w:val="0039328C"/>
    <w:rsid w:val="0039341A"/>
    <w:rsid w:val="00393AF9"/>
    <w:rsid w:val="00393E8F"/>
    <w:rsid w:val="0039419F"/>
    <w:rsid w:val="003944BA"/>
    <w:rsid w:val="00394D8A"/>
    <w:rsid w:val="00395A1C"/>
    <w:rsid w:val="00395A6F"/>
    <w:rsid w:val="00395C65"/>
    <w:rsid w:val="0039624C"/>
    <w:rsid w:val="00396D51"/>
    <w:rsid w:val="00397227"/>
    <w:rsid w:val="003976ED"/>
    <w:rsid w:val="00397F28"/>
    <w:rsid w:val="00397F86"/>
    <w:rsid w:val="003A0878"/>
    <w:rsid w:val="003A0E94"/>
    <w:rsid w:val="003A1763"/>
    <w:rsid w:val="003A2557"/>
    <w:rsid w:val="003A2B52"/>
    <w:rsid w:val="003A2F9F"/>
    <w:rsid w:val="003A3415"/>
    <w:rsid w:val="003A35E2"/>
    <w:rsid w:val="003A3BF3"/>
    <w:rsid w:val="003A3C01"/>
    <w:rsid w:val="003A3E46"/>
    <w:rsid w:val="003A4118"/>
    <w:rsid w:val="003A4364"/>
    <w:rsid w:val="003A478B"/>
    <w:rsid w:val="003A478D"/>
    <w:rsid w:val="003A4B67"/>
    <w:rsid w:val="003A4C1B"/>
    <w:rsid w:val="003A4C93"/>
    <w:rsid w:val="003A553F"/>
    <w:rsid w:val="003A55ED"/>
    <w:rsid w:val="003A5762"/>
    <w:rsid w:val="003A5F5C"/>
    <w:rsid w:val="003A78DC"/>
    <w:rsid w:val="003A790F"/>
    <w:rsid w:val="003A79A9"/>
    <w:rsid w:val="003B087D"/>
    <w:rsid w:val="003B0DEC"/>
    <w:rsid w:val="003B1F80"/>
    <w:rsid w:val="003B27DE"/>
    <w:rsid w:val="003B29AD"/>
    <w:rsid w:val="003B2D9C"/>
    <w:rsid w:val="003B31EC"/>
    <w:rsid w:val="003B327D"/>
    <w:rsid w:val="003B3AA9"/>
    <w:rsid w:val="003B3C0C"/>
    <w:rsid w:val="003B3E74"/>
    <w:rsid w:val="003B585F"/>
    <w:rsid w:val="003B5A42"/>
    <w:rsid w:val="003B5C85"/>
    <w:rsid w:val="003B5EF7"/>
    <w:rsid w:val="003B663E"/>
    <w:rsid w:val="003B6660"/>
    <w:rsid w:val="003B6847"/>
    <w:rsid w:val="003B6E32"/>
    <w:rsid w:val="003B734B"/>
    <w:rsid w:val="003C07C8"/>
    <w:rsid w:val="003C086C"/>
    <w:rsid w:val="003C193D"/>
    <w:rsid w:val="003C2386"/>
    <w:rsid w:val="003C27E3"/>
    <w:rsid w:val="003C31D1"/>
    <w:rsid w:val="003C36DC"/>
    <w:rsid w:val="003C4169"/>
    <w:rsid w:val="003C41F1"/>
    <w:rsid w:val="003C4523"/>
    <w:rsid w:val="003C5595"/>
    <w:rsid w:val="003C575F"/>
    <w:rsid w:val="003C586E"/>
    <w:rsid w:val="003C63CF"/>
    <w:rsid w:val="003C64F2"/>
    <w:rsid w:val="003C6D22"/>
    <w:rsid w:val="003C6DA4"/>
    <w:rsid w:val="003C7379"/>
    <w:rsid w:val="003C7450"/>
    <w:rsid w:val="003C7A3E"/>
    <w:rsid w:val="003C7FDE"/>
    <w:rsid w:val="003D018F"/>
    <w:rsid w:val="003D08F8"/>
    <w:rsid w:val="003D0949"/>
    <w:rsid w:val="003D0D3E"/>
    <w:rsid w:val="003D1D6F"/>
    <w:rsid w:val="003D1EAF"/>
    <w:rsid w:val="003D222F"/>
    <w:rsid w:val="003D2B8A"/>
    <w:rsid w:val="003D2F26"/>
    <w:rsid w:val="003D2F42"/>
    <w:rsid w:val="003D308B"/>
    <w:rsid w:val="003D32F8"/>
    <w:rsid w:val="003D3D8D"/>
    <w:rsid w:val="003D42DA"/>
    <w:rsid w:val="003D4458"/>
    <w:rsid w:val="003D471D"/>
    <w:rsid w:val="003D4B13"/>
    <w:rsid w:val="003D5828"/>
    <w:rsid w:val="003D598A"/>
    <w:rsid w:val="003D6A7B"/>
    <w:rsid w:val="003D6EBE"/>
    <w:rsid w:val="003D72C1"/>
    <w:rsid w:val="003D7517"/>
    <w:rsid w:val="003D7E5B"/>
    <w:rsid w:val="003D7EF9"/>
    <w:rsid w:val="003E0013"/>
    <w:rsid w:val="003E0223"/>
    <w:rsid w:val="003E0439"/>
    <w:rsid w:val="003E0600"/>
    <w:rsid w:val="003E06CB"/>
    <w:rsid w:val="003E070F"/>
    <w:rsid w:val="003E0811"/>
    <w:rsid w:val="003E16B0"/>
    <w:rsid w:val="003E19AD"/>
    <w:rsid w:val="003E1C36"/>
    <w:rsid w:val="003E2249"/>
    <w:rsid w:val="003E2416"/>
    <w:rsid w:val="003E2502"/>
    <w:rsid w:val="003E2C7D"/>
    <w:rsid w:val="003E2F6E"/>
    <w:rsid w:val="003E3188"/>
    <w:rsid w:val="003E319A"/>
    <w:rsid w:val="003E33A4"/>
    <w:rsid w:val="003E3759"/>
    <w:rsid w:val="003E3813"/>
    <w:rsid w:val="003E39A1"/>
    <w:rsid w:val="003E3BCF"/>
    <w:rsid w:val="003E3E02"/>
    <w:rsid w:val="003E47D5"/>
    <w:rsid w:val="003E49D8"/>
    <w:rsid w:val="003E4C40"/>
    <w:rsid w:val="003E4D5F"/>
    <w:rsid w:val="003E4E3B"/>
    <w:rsid w:val="003E5176"/>
    <w:rsid w:val="003E54A3"/>
    <w:rsid w:val="003E5AC0"/>
    <w:rsid w:val="003E5E1E"/>
    <w:rsid w:val="003E613A"/>
    <w:rsid w:val="003E6391"/>
    <w:rsid w:val="003E6695"/>
    <w:rsid w:val="003E726F"/>
    <w:rsid w:val="003E78A9"/>
    <w:rsid w:val="003E7D1F"/>
    <w:rsid w:val="003F0EF7"/>
    <w:rsid w:val="003F10CA"/>
    <w:rsid w:val="003F142B"/>
    <w:rsid w:val="003F14F2"/>
    <w:rsid w:val="003F15F1"/>
    <w:rsid w:val="003F1BBC"/>
    <w:rsid w:val="003F1C44"/>
    <w:rsid w:val="003F3BF1"/>
    <w:rsid w:val="003F3CC7"/>
    <w:rsid w:val="003F3D3D"/>
    <w:rsid w:val="003F3F1A"/>
    <w:rsid w:val="003F5474"/>
    <w:rsid w:val="003F68C2"/>
    <w:rsid w:val="003F6C4C"/>
    <w:rsid w:val="003F6E11"/>
    <w:rsid w:val="0040055A"/>
    <w:rsid w:val="0040056C"/>
    <w:rsid w:val="00400969"/>
    <w:rsid w:val="004014A9"/>
    <w:rsid w:val="004015DC"/>
    <w:rsid w:val="0040175A"/>
    <w:rsid w:val="00402C6F"/>
    <w:rsid w:val="00402DC1"/>
    <w:rsid w:val="0040312B"/>
    <w:rsid w:val="00404973"/>
    <w:rsid w:val="00405068"/>
    <w:rsid w:val="0040542A"/>
    <w:rsid w:val="004058A3"/>
    <w:rsid w:val="00406065"/>
    <w:rsid w:val="00410BEE"/>
    <w:rsid w:val="00410C73"/>
    <w:rsid w:val="004111A1"/>
    <w:rsid w:val="0041140B"/>
    <w:rsid w:val="00411DF3"/>
    <w:rsid w:val="004128DA"/>
    <w:rsid w:val="00413041"/>
    <w:rsid w:val="00413912"/>
    <w:rsid w:val="0041424D"/>
    <w:rsid w:val="00414A22"/>
    <w:rsid w:val="00414AF5"/>
    <w:rsid w:val="00414D03"/>
    <w:rsid w:val="00415000"/>
    <w:rsid w:val="0041559C"/>
    <w:rsid w:val="004158F7"/>
    <w:rsid w:val="00415AFB"/>
    <w:rsid w:val="004164EC"/>
    <w:rsid w:val="00416E0C"/>
    <w:rsid w:val="004172F0"/>
    <w:rsid w:val="00417C6C"/>
    <w:rsid w:val="00417CEB"/>
    <w:rsid w:val="00417E25"/>
    <w:rsid w:val="0042029F"/>
    <w:rsid w:val="004209E4"/>
    <w:rsid w:val="004214B9"/>
    <w:rsid w:val="004215E1"/>
    <w:rsid w:val="00421A59"/>
    <w:rsid w:val="004223D3"/>
    <w:rsid w:val="00422698"/>
    <w:rsid w:val="00422E7E"/>
    <w:rsid w:val="00424152"/>
    <w:rsid w:val="004244A3"/>
    <w:rsid w:val="00424FB5"/>
    <w:rsid w:val="004253D4"/>
    <w:rsid w:val="0042546B"/>
    <w:rsid w:val="0042583C"/>
    <w:rsid w:val="00426FD9"/>
    <w:rsid w:val="00427007"/>
    <w:rsid w:val="004271D4"/>
    <w:rsid w:val="004279DD"/>
    <w:rsid w:val="00427D0F"/>
    <w:rsid w:val="00427DC7"/>
    <w:rsid w:val="00427F46"/>
    <w:rsid w:val="00430941"/>
    <w:rsid w:val="00430AA2"/>
    <w:rsid w:val="00430ABC"/>
    <w:rsid w:val="00430DEC"/>
    <w:rsid w:val="00431057"/>
    <w:rsid w:val="00431BD6"/>
    <w:rsid w:val="00431CE2"/>
    <w:rsid w:val="004322C2"/>
    <w:rsid w:val="0043261B"/>
    <w:rsid w:val="00432C99"/>
    <w:rsid w:val="00433021"/>
    <w:rsid w:val="00433E25"/>
    <w:rsid w:val="00434371"/>
    <w:rsid w:val="004344CD"/>
    <w:rsid w:val="004344E6"/>
    <w:rsid w:val="00434ADB"/>
    <w:rsid w:val="004359F8"/>
    <w:rsid w:val="004364A8"/>
    <w:rsid w:val="0043657C"/>
    <w:rsid w:val="00436923"/>
    <w:rsid w:val="004369F6"/>
    <w:rsid w:val="00437129"/>
    <w:rsid w:val="00437303"/>
    <w:rsid w:val="0043765F"/>
    <w:rsid w:val="00437CA6"/>
    <w:rsid w:val="00437F84"/>
    <w:rsid w:val="00440C0C"/>
    <w:rsid w:val="00440DD5"/>
    <w:rsid w:val="004410AA"/>
    <w:rsid w:val="004410CB"/>
    <w:rsid w:val="00441334"/>
    <w:rsid w:val="00441718"/>
    <w:rsid w:val="00441921"/>
    <w:rsid w:val="00441BFA"/>
    <w:rsid w:val="00441F14"/>
    <w:rsid w:val="004431BD"/>
    <w:rsid w:val="004446F8"/>
    <w:rsid w:val="004449F4"/>
    <w:rsid w:val="00444EC5"/>
    <w:rsid w:val="00445177"/>
    <w:rsid w:val="004452BB"/>
    <w:rsid w:val="004452E5"/>
    <w:rsid w:val="004455CF"/>
    <w:rsid w:val="00445C54"/>
    <w:rsid w:val="004460E8"/>
    <w:rsid w:val="00446287"/>
    <w:rsid w:val="004466B6"/>
    <w:rsid w:val="00446E18"/>
    <w:rsid w:val="00447283"/>
    <w:rsid w:val="00447B93"/>
    <w:rsid w:val="00447D9B"/>
    <w:rsid w:val="00447DDB"/>
    <w:rsid w:val="00447EA7"/>
    <w:rsid w:val="00447FBB"/>
    <w:rsid w:val="00450564"/>
    <w:rsid w:val="00450C73"/>
    <w:rsid w:val="00450D08"/>
    <w:rsid w:val="00451A05"/>
    <w:rsid w:val="00451C73"/>
    <w:rsid w:val="0045242D"/>
    <w:rsid w:val="0045383E"/>
    <w:rsid w:val="0045461A"/>
    <w:rsid w:val="0045483A"/>
    <w:rsid w:val="00454E7F"/>
    <w:rsid w:val="00455227"/>
    <w:rsid w:val="0045590B"/>
    <w:rsid w:val="0045591A"/>
    <w:rsid w:val="004564F3"/>
    <w:rsid w:val="00456706"/>
    <w:rsid w:val="00456D13"/>
    <w:rsid w:val="004573A3"/>
    <w:rsid w:val="00457A4A"/>
    <w:rsid w:val="00457A6E"/>
    <w:rsid w:val="00461213"/>
    <w:rsid w:val="00461A7F"/>
    <w:rsid w:val="00461BD0"/>
    <w:rsid w:val="00461E0E"/>
    <w:rsid w:val="00461F5C"/>
    <w:rsid w:val="004620BD"/>
    <w:rsid w:val="00462819"/>
    <w:rsid w:val="004628A8"/>
    <w:rsid w:val="00462C15"/>
    <w:rsid w:val="00462DA7"/>
    <w:rsid w:val="00463097"/>
    <w:rsid w:val="004630B7"/>
    <w:rsid w:val="004633AF"/>
    <w:rsid w:val="0046463F"/>
    <w:rsid w:val="00464B87"/>
    <w:rsid w:val="00464C4B"/>
    <w:rsid w:val="00464E44"/>
    <w:rsid w:val="00464F2A"/>
    <w:rsid w:val="004655B5"/>
    <w:rsid w:val="00465A39"/>
    <w:rsid w:val="00466403"/>
    <w:rsid w:val="00466AC3"/>
    <w:rsid w:val="0046749A"/>
    <w:rsid w:val="00467564"/>
    <w:rsid w:val="004676E6"/>
    <w:rsid w:val="00470280"/>
    <w:rsid w:val="0047069B"/>
    <w:rsid w:val="00470E43"/>
    <w:rsid w:val="004711EE"/>
    <w:rsid w:val="00471660"/>
    <w:rsid w:val="00472125"/>
    <w:rsid w:val="004726A7"/>
    <w:rsid w:val="00472A0E"/>
    <w:rsid w:val="00472B4E"/>
    <w:rsid w:val="004731F0"/>
    <w:rsid w:val="004735DD"/>
    <w:rsid w:val="0047364B"/>
    <w:rsid w:val="004737F9"/>
    <w:rsid w:val="004745F7"/>
    <w:rsid w:val="004747F5"/>
    <w:rsid w:val="00474878"/>
    <w:rsid w:val="00474881"/>
    <w:rsid w:val="00474AD9"/>
    <w:rsid w:val="00474F91"/>
    <w:rsid w:val="0047524A"/>
    <w:rsid w:val="0047531E"/>
    <w:rsid w:val="004759D0"/>
    <w:rsid w:val="00475C64"/>
    <w:rsid w:val="00475DE6"/>
    <w:rsid w:val="00476082"/>
    <w:rsid w:val="00476F5A"/>
    <w:rsid w:val="00477028"/>
    <w:rsid w:val="00477D56"/>
    <w:rsid w:val="00480130"/>
    <w:rsid w:val="00480379"/>
    <w:rsid w:val="00480E45"/>
    <w:rsid w:val="00481421"/>
    <w:rsid w:val="00481644"/>
    <w:rsid w:val="0048193D"/>
    <w:rsid w:val="00481F89"/>
    <w:rsid w:val="004822B9"/>
    <w:rsid w:val="00482367"/>
    <w:rsid w:val="00482426"/>
    <w:rsid w:val="004827F7"/>
    <w:rsid w:val="00482B51"/>
    <w:rsid w:val="00482E82"/>
    <w:rsid w:val="00482F4C"/>
    <w:rsid w:val="00483CCD"/>
    <w:rsid w:val="00483D9F"/>
    <w:rsid w:val="00484838"/>
    <w:rsid w:val="00484DD1"/>
    <w:rsid w:val="004850A1"/>
    <w:rsid w:val="004851F6"/>
    <w:rsid w:val="00485218"/>
    <w:rsid w:val="004853E5"/>
    <w:rsid w:val="00485479"/>
    <w:rsid w:val="00486064"/>
    <w:rsid w:val="00486366"/>
    <w:rsid w:val="00486899"/>
    <w:rsid w:val="00486DA5"/>
    <w:rsid w:val="00486EFD"/>
    <w:rsid w:val="00487373"/>
    <w:rsid w:val="00487F24"/>
    <w:rsid w:val="0049017E"/>
    <w:rsid w:val="00490623"/>
    <w:rsid w:val="00490891"/>
    <w:rsid w:val="00490C4B"/>
    <w:rsid w:val="00491369"/>
    <w:rsid w:val="004914F5"/>
    <w:rsid w:val="00491614"/>
    <w:rsid w:val="00491A00"/>
    <w:rsid w:val="00492214"/>
    <w:rsid w:val="0049234D"/>
    <w:rsid w:val="00492B90"/>
    <w:rsid w:val="00492D48"/>
    <w:rsid w:val="00493DF6"/>
    <w:rsid w:val="00494241"/>
    <w:rsid w:val="0049443A"/>
    <w:rsid w:val="00494527"/>
    <w:rsid w:val="004949B5"/>
    <w:rsid w:val="00494E6C"/>
    <w:rsid w:val="0049507B"/>
    <w:rsid w:val="0049575B"/>
    <w:rsid w:val="0049577D"/>
    <w:rsid w:val="00495CB1"/>
    <w:rsid w:val="00495F8C"/>
    <w:rsid w:val="004969C2"/>
    <w:rsid w:val="00496AAC"/>
    <w:rsid w:val="00496C81"/>
    <w:rsid w:val="00496CBF"/>
    <w:rsid w:val="004971FC"/>
    <w:rsid w:val="0049728C"/>
    <w:rsid w:val="004A01D8"/>
    <w:rsid w:val="004A03B6"/>
    <w:rsid w:val="004A05B8"/>
    <w:rsid w:val="004A129C"/>
    <w:rsid w:val="004A1390"/>
    <w:rsid w:val="004A20B6"/>
    <w:rsid w:val="004A2615"/>
    <w:rsid w:val="004A2C7B"/>
    <w:rsid w:val="004A2D18"/>
    <w:rsid w:val="004A3218"/>
    <w:rsid w:val="004A3F23"/>
    <w:rsid w:val="004A41C4"/>
    <w:rsid w:val="004A48E2"/>
    <w:rsid w:val="004A4A62"/>
    <w:rsid w:val="004A5196"/>
    <w:rsid w:val="004A5712"/>
    <w:rsid w:val="004A61D2"/>
    <w:rsid w:val="004A6314"/>
    <w:rsid w:val="004A6E9B"/>
    <w:rsid w:val="004A79F1"/>
    <w:rsid w:val="004B01A3"/>
    <w:rsid w:val="004B029D"/>
    <w:rsid w:val="004B088F"/>
    <w:rsid w:val="004B09F4"/>
    <w:rsid w:val="004B0A8E"/>
    <w:rsid w:val="004B1003"/>
    <w:rsid w:val="004B1019"/>
    <w:rsid w:val="004B12C8"/>
    <w:rsid w:val="004B1816"/>
    <w:rsid w:val="004B1D48"/>
    <w:rsid w:val="004B20DB"/>
    <w:rsid w:val="004B2264"/>
    <w:rsid w:val="004B237F"/>
    <w:rsid w:val="004B238B"/>
    <w:rsid w:val="004B33DB"/>
    <w:rsid w:val="004B3946"/>
    <w:rsid w:val="004B5249"/>
    <w:rsid w:val="004B5372"/>
    <w:rsid w:val="004B5E81"/>
    <w:rsid w:val="004B5FCB"/>
    <w:rsid w:val="004B73EA"/>
    <w:rsid w:val="004B7429"/>
    <w:rsid w:val="004B7934"/>
    <w:rsid w:val="004B79E0"/>
    <w:rsid w:val="004B7D01"/>
    <w:rsid w:val="004C06E0"/>
    <w:rsid w:val="004C0898"/>
    <w:rsid w:val="004C0D6D"/>
    <w:rsid w:val="004C11DA"/>
    <w:rsid w:val="004C13BC"/>
    <w:rsid w:val="004C1418"/>
    <w:rsid w:val="004C15D9"/>
    <w:rsid w:val="004C1F7B"/>
    <w:rsid w:val="004C24EC"/>
    <w:rsid w:val="004C37DC"/>
    <w:rsid w:val="004C3828"/>
    <w:rsid w:val="004C38E6"/>
    <w:rsid w:val="004C3998"/>
    <w:rsid w:val="004C3B51"/>
    <w:rsid w:val="004C3D5E"/>
    <w:rsid w:val="004C3DB3"/>
    <w:rsid w:val="004C45B7"/>
    <w:rsid w:val="004C4B07"/>
    <w:rsid w:val="004C4BF9"/>
    <w:rsid w:val="004C4C8D"/>
    <w:rsid w:val="004C4C96"/>
    <w:rsid w:val="004C508D"/>
    <w:rsid w:val="004C51E9"/>
    <w:rsid w:val="004C55EF"/>
    <w:rsid w:val="004C5649"/>
    <w:rsid w:val="004C5A0C"/>
    <w:rsid w:val="004C5B4F"/>
    <w:rsid w:val="004C5DFE"/>
    <w:rsid w:val="004C6E7B"/>
    <w:rsid w:val="004C722E"/>
    <w:rsid w:val="004C762C"/>
    <w:rsid w:val="004C7A5B"/>
    <w:rsid w:val="004C7C9F"/>
    <w:rsid w:val="004D088C"/>
    <w:rsid w:val="004D1273"/>
    <w:rsid w:val="004D150F"/>
    <w:rsid w:val="004D1833"/>
    <w:rsid w:val="004D1DB0"/>
    <w:rsid w:val="004D242A"/>
    <w:rsid w:val="004D24F6"/>
    <w:rsid w:val="004D260D"/>
    <w:rsid w:val="004D295E"/>
    <w:rsid w:val="004D2CB5"/>
    <w:rsid w:val="004D35F9"/>
    <w:rsid w:val="004D371F"/>
    <w:rsid w:val="004D3837"/>
    <w:rsid w:val="004D3D51"/>
    <w:rsid w:val="004D4188"/>
    <w:rsid w:val="004D42D5"/>
    <w:rsid w:val="004D4520"/>
    <w:rsid w:val="004D475B"/>
    <w:rsid w:val="004D4784"/>
    <w:rsid w:val="004D47AA"/>
    <w:rsid w:val="004D47CE"/>
    <w:rsid w:val="004D48AA"/>
    <w:rsid w:val="004D4B20"/>
    <w:rsid w:val="004D4B5C"/>
    <w:rsid w:val="004D547C"/>
    <w:rsid w:val="004D566D"/>
    <w:rsid w:val="004D6757"/>
    <w:rsid w:val="004D6A41"/>
    <w:rsid w:val="004D6B87"/>
    <w:rsid w:val="004D6C38"/>
    <w:rsid w:val="004D74AD"/>
    <w:rsid w:val="004D78FC"/>
    <w:rsid w:val="004D79A3"/>
    <w:rsid w:val="004D7A7A"/>
    <w:rsid w:val="004D7FFB"/>
    <w:rsid w:val="004E0335"/>
    <w:rsid w:val="004E0755"/>
    <w:rsid w:val="004E0889"/>
    <w:rsid w:val="004E118F"/>
    <w:rsid w:val="004E1B40"/>
    <w:rsid w:val="004E1F53"/>
    <w:rsid w:val="004E2213"/>
    <w:rsid w:val="004E2853"/>
    <w:rsid w:val="004E2CE2"/>
    <w:rsid w:val="004E2DC3"/>
    <w:rsid w:val="004E30C4"/>
    <w:rsid w:val="004E32C0"/>
    <w:rsid w:val="004E3C7F"/>
    <w:rsid w:val="004E3D13"/>
    <w:rsid w:val="004E3F20"/>
    <w:rsid w:val="004E4412"/>
    <w:rsid w:val="004E45E4"/>
    <w:rsid w:val="004E47A9"/>
    <w:rsid w:val="004E4B48"/>
    <w:rsid w:val="004E4E5A"/>
    <w:rsid w:val="004E50AE"/>
    <w:rsid w:val="004E5933"/>
    <w:rsid w:val="004E5B69"/>
    <w:rsid w:val="004E5D76"/>
    <w:rsid w:val="004E645D"/>
    <w:rsid w:val="004E6470"/>
    <w:rsid w:val="004E6690"/>
    <w:rsid w:val="004E6862"/>
    <w:rsid w:val="004E6965"/>
    <w:rsid w:val="004E6E69"/>
    <w:rsid w:val="004E7509"/>
    <w:rsid w:val="004E7A99"/>
    <w:rsid w:val="004E7CEB"/>
    <w:rsid w:val="004F02DB"/>
    <w:rsid w:val="004F039B"/>
    <w:rsid w:val="004F0775"/>
    <w:rsid w:val="004F0914"/>
    <w:rsid w:val="004F0A3F"/>
    <w:rsid w:val="004F1CC6"/>
    <w:rsid w:val="004F2377"/>
    <w:rsid w:val="004F2B44"/>
    <w:rsid w:val="004F2BD0"/>
    <w:rsid w:val="004F358E"/>
    <w:rsid w:val="004F3A3C"/>
    <w:rsid w:val="004F46E6"/>
    <w:rsid w:val="004F4FAC"/>
    <w:rsid w:val="004F5072"/>
    <w:rsid w:val="004F5379"/>
    <w:rsid w:val="004F591E"/>
    <w:rsid w:val="004F59B5"/>
    <w:rsid w:val="004F5C51"/>
    <w:rsid w:val="004F5D3D"/>
    <w:rsid w:val="004F6525"/>
    <w:rsid w:val="004F6C82"/>
    <w:rsid w:val="004F7536"/>
    <w:rsid w:val="004F75C7"/>
    <w:rsid w:val="004F7C54"/>
    <w:rsid w:val="004F7CB9"/>
    <w:rsid w:val="004F7D35"/>
    <w:rsid w:val="00500294"/>
    <w:rsid w:val="00500A41"/>
    <w:rsid w:val="00500BF3"/>
    <w:rsid w:val="00501A45"/>
    <w:rsid w:val="00501D14"/>
    <w:rsid w:val="00501EB9"/>
    <w:rsid w:val="00502361"/>
    <w:rsid w:val="005025BC"/>
    <w:rsid w:val="00502E0E"/>
    <w:rsid w:val="005035D2"/>
    <w:rsid w:val="005035FD"/>
    <w:rsid w:val="00503671"/>
    <w:rsid w:val="00503900"/>
    <w:rsid w:val="00503E2C"/>
    <w:rsid w:val="00503E4C"/>
    <w:rsid w:val="005050BF"/>
    <w:rsid w:val="00505879"/>
    <w:rsid w:val="00505B29"/>
    <w:rsid w:val="0050680E"/>
    <w:rsid w:val="00506DBD"/>
    <w:rsid w:val="00507C25"/>
    <w:rsid w:val="00507C93"/>
    <w:rsid w:val="0051015A"/>
    <w:rsid w:val="005101D0"/>
    <w:rsid w:val="005101FB"/>
    <w:rsid w:val="00510606"/>
    <w:rsid w:val="00510D4A"/>
    <w:rsid w:val="00510DEB"/>
    <w:rsid w:val="00510E5B"/>
    <w:rsid w:val="005110AA"/>
    <w:rsid w:val="005111CF"/>
    <w:rsid w:val="0051193C"/>
    <w:rsid w:val="00511CCF"/>
    <w:rsid w:val="00511DD7"/>
    <w:rsid w:val="005126EC"/>
    <w:rsid w:val="00512835"/>
    <w:rsid w:val="00512B3D"/>
    <w:rsid w:val="00512EFB"/>
    <w:rsid w:val="0051304B"/>
    <w:rsid w:val="00513050"/>
    <w:rsid w:val="00513310"/>
    <w:rsid w:val="005137AD"/>
    <w:rsid w:val="00513DD4"/>
    <w:rsid w:val="0051446E"/>
    <w:rsid w:val="0051455B"/>
    <w:rsid w:val="00514E34"/>
    <w:rsid w:val="00514FC1"/>
    <w:rsid w:val="00516D82"/>
    <w:rsid w:val="005171C2"/>
    <w:rsid w:val="00517AD7"/>
    <w:rsid w:val="00517C52"/>
    <w:rsid w:val="00517DA1"/>
    <w:rsid w:val="00517DDA"/>
    <w:rsid w:val="00517F4D"/>
    <w:rsid w:val="00517FE5"/>
    <w:rsid w:val="005207B7"/>
    <w:rsid w:val="00520F7E"/>
    <w:rsid w:val="005214AD"/>
    <w:rsid w:val="005215FA"/>
    <w:rsid w:val="0052160C"/>
    <w:rsid w:val="005220AA"/>
    <w:rsid w:val="0052245A"/>
    <w:rsid w:val="005227DE"/>
    <w:rsid w:val="00522B71"/>
    <w:rsid w:val="00522C6F"/>
    <w:rsid w:val="005238F2"/>
    <w:rsid w:val="00524604"/>
    <w:rsid w:val="00524C3E"/>
    <w:rsid w:val="00524D09"/>
    <w:rsid w:val="00524FD3"/>
    <w:rsid w:val="0052506B"/>
    <w:rsid w:val="005251AC"/>
    <w:rsid w:val="0052546C"/>
    <w:rsid w:val="005256E9"/>
    <w:rsid w:val="005259AE"/>
    <w:rsid w:val="00525AC3"/>
    <w:rsid w:val="0052634F"/>
    <w:rsid w:val="00526BA9"/>
    <w:rsid w:val="005304B3"/>
    <w:rsid w:val="0053059E"/>
    <w:rsid w:val="00530780"/>
    <w:rsid w:val="005307C6"/>
    <w:rsid w:val="00530A9E"/>
    <w:rsid w:val="00530C8C"/>
    <w:rsid w:val="00530DBC"/>
    <w:rsid w:val="0053104D"/>
    <w:rsid w:val="00531279"/>
    <w:rsid w:val="0053172D"/>
    <w:rsid w:val="00531A40"/>
    <w:rsid w:val="00531E10"/>
    <w:rsid w:val="00532BFA"/>
    <w:rsid w:val="00533A00"/>
    <w:rsid w:val="00533A95"/>
    <w:rsid w:val="00533DEA"/>
    <w:rsid w:val="00534A50"/>
    <w:rsid w:val="00535440"/>
    <w:rsid w:val="005356C3"/>
    <w:rsid w:val="00536246"/>
    <w:rsid w:val="00536B0A"/>
    <w:rsid w:val="00536FDB"/>
    <w:rsid w:val="0053703C"/>
    <w:rsid w:val="005400C2"/>
    <w:rsid w:val="00540546"/>
    <w:rsid w:val="00540582"/>
    <w:rsid w:val="00540898"/>
    <w:rsid w:val="00540AAE"/>
    <w:rsid w:val="00540C04"/>
    <w:rsid w:val="00540C48"/>
    <w:rsid w:val="005413BC"/>
    <w:rsid w:val="00541C79"/>
    <w:rsid w:val="00542C1E"/>
    <w:rsid w:val="00542CEF"/>
    <w:rsid w:val="00542D43"/>
    <w:rsid w:val="00542E9B"/>
    <w:rsid w:val="00542F68"/>
    <w:rsid w:val="00543DE8"/>
    <w:rsid w:val="00544B79"/>
    <w:rsid w:val="00545286"/>
    <w:rsid w:val="00545869"/>
    <w:rsid w:val="00545A4E"/>
    <w:rsid w:val="00546081"/>
    <w:rsid w:val="00546891"/>
    <w:rsid w:val="00547861"/>
    <w:rsid w:val="00547B04"/>
    <w:rsid w:val="00547D4C"/>
    <w:rsid w:val="00547E01"/>
    <w:rsid w:val="0055005F"/>
    <w:rsid w:val="00551308"/>
    <w:rsid w:val="00551A11"/>
    <w:rsid w:val="00552352"/>
    <w:rsid w:val="0055268E"/>
    <w:rsid w:val="005527CE"/>
    <w:rsid w:val="00552C08"/>
    <w:rsid w:val="00553002"/>
    <w:rsid w:val="00553279"/>
    <w:rsid w:val="00553448"/>
    <w:rsid w:val="00553928"/>
    <w:rsid w:val="00553AD0"/>
    <w:rsid w:val="00554391"/>
    <w:rsid w:val="0055458F"/>
    <w:rsid w:val="00554795"/>
    <w:rsid w:val="005548CF"/>
    <w:rsid w:val="00554B36"/>
    <w:rsid w:val="00554E0F"/>
    <w:rsid w:val="00554ECC"/>
    <w:rsid w:val="00555372"/>
    <w:rsid w:val="0055543F"/>
    <w:rsid w:val="0055565E"/>
    <w:rsid w:val="00555C8B"/>
    <w:rsid w:val="00555CA9"/>
    <w:rsid w:val="00556389"/>
    <w:rsid w:val="00556C51"/>
    <w:rsid w:val="00556F5B"/>
    <w:rsid w:val="00556FA2"/>
    <w:rsid w:val="0055703B"/>
    <w:rsid w:val="005606B4"/>
    <w:rsid w:val="0056099E"/>
    <w:rsid w:val="00560BA1"/>
    <w:rsid w:val="00561087"/>
    <w:rsid w:val="00561492"/>
    <w:rsid w:val="0056155B"/>
    <w:rsid w:val="00561C2A"/>
    <w:rsid w:val="005620B0"/>
    <w:rsid w:val="005621FA"/>
    <w:rsid w:val="00562BD9"/>
    <w:rsid w:val="00562FE0"/>
    <w:rsid w:val="005631EE"/>
    <w:rsid w:val="0056371F"/>
    <w:rsid w:val="0056376F"/>
    <w:rsid w:val="005638BE"/>
    <w:rsid w:val="00563EF5"/>
    <w:rsid w:val="005649E3"/>
    <w:rsid w:val="0056575C"/>
    <w:rsid w:val="00566069"/>
    <w:rsid w:val="00566A2C"/>
    <w:rsid w:val="00566FCC"/>
    <w:rsid w:val="005677FB"/>
    <w:rsid w:val="00567D57"/>
    <w:rsid w:val="0057009A"/>
    <w:rsid w:val="005702D5"/>
    <w:rsid w:val="005702ED"/>
    <w:rsid w:val="0057042F"/>
    <w:rsid w:val="00570B3E"/>
    <w:rsid w:val="00571071"/>
    <w:rsid w:val="00571DEE"/>
    <w:rsid w:val="00571F42"/>
    <w:rsid w:val="00572C25"/>
    <w:rsid w:val="00572FBF"/>
    <w:rsid w:val="0057305B"/>
    <w:rsid w:val="005732ED"/>
    <w:rsid w:val="00573E67"/>
    <w:rsid w:val="00574258"/>
    <w:rsid w:val="005748D9"/>
    <w:rsid w:val="00574926"/>
    <w:rsid w:val="00574ABC"/>
    <w:rsid w:val="005750F6"/>
    <w:rsid w:val="00575E4E"/>
    <w:rsid w:val="00575EB4"/>
    <w:rsid w:val="00575FA8"/>
    <w:rsid w:val="00576947"/>
    <w:rsid w:val="00576D4F"/>
    <w:rsid w:val="00577439"/>
    <w:rsid w:val="0057744A"/>
    <w:rsid w:val="005778F3"/>
    <w:rsid w:val="00577CA3"/>
    <w:rsid w:val="005812F6"/>
    <w:rsid w:val="005816D7"/>
    <w:rsid w:val="005819B4"/>
    <w:rsid w:val="00581B61"/>
    <w:rsid w:val="00581CC9"/>
    <w:rsid w:val="00582548"/>
    <w:rsid w:val="005828D0"/>
    <w:rsid w:val="00582B4F"/>
    <w:rsid w:val="0058334D"/>
    <w:rsid w:val="005836F5"/>
    <w:rsid w:val="00583E0D"/>
    <w:rsid w:val="005841E2"/>
    <w:rsid w:val="0058425F"/>
    <w:rsid w:val="005845CF"/>
    <w:rsid w:val="00584D08"/>
    <w:rsid w:val="00584D11"/>
    <w:rsid w:val="005862A6"/>
    <w:rsid w:val="00587803"/>
    <w:rsid w:val="00590EF7"/>
    <w:rsid w:val="005920E0"/>
    <w:rsid w:val="00592A8E"/>
    <w:rsid w:val="00592E3A"/>
    <w:rsid w:val="00592FB4"/>
    <w:rsid w:val="00593D29"/>
    <w:rsid w:val="00593FDC"/>
    <w:rsid w:val="00594071"/>
    <w:rsid w:val="0059478D"/>
    <w:rsid w:val="0059488E"/>
    <w:rsid w:val="0059493A"/>
    <w:rsid w:val="00594A82"/>
    <w:rsid w:val="00595551"/>
    <w:rsid w:val="005956E7"/>
    <w:rsid w:val="00595996"/>
    <w:rsid w:val="00595C98"/>
    <w:rsid w:val="00595DA7"/>
    <w:rsid w:val="005967DD"/>
    <w:rsid w:val="00596980"/>
    <w:rsid w:val="00596EE1"/>
    <w:rsid w:val="00597930"/>
    <w:rsid w:val="00597C7F"/>
    <w:rsid w:val="00597D00"/>
    <w:rsid w:val="00597F2F"/>
    <w:rsid w:val="005A0040"/>
    <w:rsid w:val="005A02B8"/>
    <w:rsid w:val="005A0458"/>
    <w:rsid w:val="005A0DC1"/>
    <w:rsid w:val="005A1353"/>
    <w:rsid w:val="005A159C"/>
    <w:rsid w:val="005A17C0"/>
    <w:rsid w:val="005A1C0E"/>
    <w:rsid w:val="005A25B6"/>
    <w:rsid w:val="005A27B9"/>
    <w:rsid w:val="005A3068"/>
    <w:rsid w:val="005A36A9"/>
    <w:rsid w:val="005A3EBD"/>
    <w:rsid w:val="005A444D"/>
    <w:rsid w:val="005A4517"/>
    <w:rsid w:val="005A4706"/>
    <w:rsid w:val="005A51DA"/>
    <w:rsid w:val="005A5542"/>
    <w:rsid w:val="005A6AE4"/>
    <w:rsid w:val="005A6B1D"/>
    <w:rsid w:val="005A6FC3"/>
    <w:rsid w:val="005A793C"/>
    <w:rsid w:val="005B0038"/>
    <w:rsid w:val="005B03F0"/>
    <w:rsid w:val="005B0669"/>
    <w:rsid w:val="005B0750"/>
    <w:rsid w:val="005B0D85"/>
    <w:rsid w:val="005B1BFE"/>
    <w:rsid w:val="005B23E4"/>
    <w:rsid w:val="005B2BC3"/>
    <w:rsid w:val="005B2DD6"/>
    <w:rsid w:val="005B32F5"/>
    <w:rsid w:val="005B418A"/>
    <w:rsid w:val="005B51C2"/>
    <w:rsid w:val="005B52C2"/>
    <w:rsid w:val="005B55D2"/>
    <w:rsid w:val="005B58BA"/>
    <w:rsid w:val="005B6528"/>
    <w:rsid w:val="005B65D4"/>
    <w:rsid w:val="005B6E35"/>
    <w:rsid w:val="005B6E92"/>
    <w:rsid w:val="005B7484"/>
    <w:rsid w:val="005B74DF"/>
    <w:rsid w:val="005C04DB"/>
    <w:rsid w:val="005C07DC"/>
    <w:rsid w:val="005C088C"/>
    <w:rsid w:val="005C0D57"/>
    <w:rsid w:val="005C0E9A"/>
    <w:rsid w:val="005C0EDA"/>
    <w:rsid w:val="005C1AE6"/>
    <w:rsid w:val="005C1BB6"/>
    <w:rsid w:val="005C1FCC"/>
    <w:rsid w:val="005C1FEC"/>
    <w:rsid w:val="005C2377"/>
    <w:rsid w:val="005C2C4E"/>
    <w:rsid w:val="005C32BC"/>
    <w:rsid w:val="005C3D78"/>
    <w:rsid w:val="005C3FED"/>
    <w:rsid w:val="005C4197"/>
    <w:rsid w:val="005C41F7"/>
    <w:rsid w:val="005C455C"/>
    <w:rsid w:val="005C49D5"/>
    <w:rsid w:val="005C4D02"/>
    <w:rsid w:val="005C4DDC"/>
    <w:rsid w:val="005C521E"/>
    <w:rsid w:val="005C5A6E"/>
    <w:rsid w:val="005C6468"/>
    <w:rsid w:val="005C65EB"/>
    <w:rsid w:val="005C674E"/>
    <w:rsid w:val="005C7035"/>
    <w:rsid w:val="005C7506"/>
    <w:rsid w:val="005C75DD"/>
    <w:rsid w:val="005C7B74"/>
    <w:rsid w:val="005C7B82"/>
    <w:rsid w:val="005C7F3D"/>
    <w:rsid w:val="005D008A"/>
    <w:rsid w:val="005D0D10"/>
    <w:rsid w:val="005D1193"/>
    <w:rsid w:val="005D15BC"/>
    <w:rsid w:val="005D24C0"/>
    <w:rsid w:val="005D2E5D"/>
    <w:rsid w:val="005D2E62"/>
    <w:rsid w:val="005D2F5B"/>
    <w:rsid w:val="005D3D02"/>
    <w:rsid w:val="005D3E72"/>
    <w:rsid w:val="005D446A"/>
    <w:rsid w:val="005D4788"/>
    <w:rsid w:val="005D4B3E"/>
    <w:rsid w:val="005D4D61"/>
    <w:rsid w:val="005D4FC3"/>
    <w:rsid w:val="005D55D4"/>
    <w:rsid w:val="005D5909"/>
    <w:rsid w:val="005D5A25"/>
    <w:rsid w:val="005D5F36"/>
    <w:rsid w:val="005D6068"/>
    <w:rsid w:val="005D68A3"/>
    <w:rsid w:val="005D6CC5"/>
    <w:rsid w:val="005D6D35"/>
    <w:rsid w:val="005D6EFE"/>
    <w:rsid w:val="005D7521"/>
    <w:rsid w:val="005D7AA3"/>
    <w:rsid w:val="005D7B7A"/>
    <w:rsid w:val="005E0063"/>
    <w:rsid w:val="005E0AE8"/>
    <w:rsid w:val="005E0E08"/>
    <w:rsid w:val="005E0F58"/>
    <w:rsid w:val="005E0FDF"/>
    <w:rsid w:val="005E166A"/>
    <w:rsid w:val="005E1BC9"/>
    <w:rsid w:val="005E30D7"/>
    <w:rsid w:val="005E35CD"/>
    <w:rsid w:val="005E37F3"/>
    <w:rsid w:val="005E39CF"/>
    <w:rsid w:val="005E3A3D"/>
    <w:rsid w:val="005E3D0B"/>
    <w:rsid w:val="005E4614"/>
    <w:rsid w:val="005E4721"/>
    <w:rsid w:val="005E60BA"/>
    <w:rsid w:val="005E66B3"/>
    <w:rsid w:val="005E7359"/>
    <w:rsid w:val="005E743B"/>
    <w:rsid w:val="005E7703"/>
    <w:rsid w:val="005E78EB"/>
    <w:rsid w:val="005E79C2"/>
    <w:rsid w:val="005E7FD8"/>
    <w:rsid w:val="005F032A"/>
    <w:rsid w:val="005F0947"/>
    <w:rsid w:val="005F095B"/>
    <w:rsid w:val="005F166D"/>
    <w:rsid w:val="005F1676"/>
    <w:rsid w:val="005F1AC6"/>
    <w:rsid w:val="005F1B9E"/>
    <w:rsid w:val="005F1C08"/>
    <w:rsid w:val="005F2295"/>
    <w:rsid w:val="005F2498"/>
    <w:rsid w:val="005F3030"/>
    <w:rsid w:val="005F31E8"/>
    <w:rsid w:val="005F35E1"/>
    <w:rsid w:val="005F41D7"/>
    <w:rsid w:val="005F42FD"/>
    <w:rsid w:val="005F4392"/>
    <w:rsid w:val="005F4574"/>
    <w:rsid w:val="005F45D6"/>
    <w:rsid w:val="005F4AA8"/>
    <w:rsid w:val="005F4CB3"/>
    <w:rsid w:val="005F5186"/>
    <w:rsid w:val="005F5B02"/>
    <w:rsid w:val="005F6539"/>
    <w:rsid w:val="005F6AF5"/>
    <w:rsid w:val="005F6C8A"/>
    <w:rsid w:val="005F70CF"/>
    <w:rsid w:val="005F725B"/>
    <w:rsid w:val="005F762F"/>
    <w:rsid w:val="006001C3"/>
    <w:rsid w:val="0060024F"/>
    <w:rsid w:val="00600A19"/>
    <w:rsid w:val="00600D5D"/>
    <w:rsid w:val="00600E0B"/>
    <w:rsid w:val="006013D5"/>
    <w:rsid w:val="00601DE0"/>
    <w:rsid w:val="006024F6"/>
    <w:rsid w:val="00602559"/>
    <w:rsid w:val="00602B98"/>
    <w:rsid w:val="00602BC1"/>
    <w:rsid w:val="00602F6F"/>
    <w:rsid w:val="006034AD"/>
    <w:rsid w:val="00603864"/>
    <w:rsid w:val="006044E7"/>
    <w:rsid w:val="00604F8A"/>
    <w:rsid w:val="00605046"/>
    <w:rsid w:val="006056DF"/>
    <w:rsid w:val="006057A3"/>
    <w:rsid w:val="006057FC"/>
    <w:rsid w:val="00605B5D"/>
    <w:rsid w:val="00605C4D"/>
    <w:rsid w:val="0060614C"/>
    <w:rsid w:val="00606529"/>
    <w:rsid w:val="00606C2A"/>
    <w:rsid w:val="00606EE1"/>
    <w:rsid w:val="006071AF"/>
    <w:rsid w:val="0060727E"/>
    <w:rsid w:val="0060730D"/>
    <w:rsid w:val="00607467"/>
    <w:rsid w:val="0060765D"/>
    <w:rsid w:val="0060794D"/>
    <w:rsid w:val="00607D57"/>
    <w:rsid w:val="0061091D"/>
    <w:rsid w:val="00610EDF"/>
    <w:rsid w:val="0061144C"/>
    <w:rsid w:val="00611579"/>
    <w:rsid w:val="0061224A"/>
    <w:rsid w:val="006128F3"/>
    <w:rsid w:val="00612C22"/>
    <w:rsid w:val="00612F10"/>
    <w:rsid w:val="006132FC"/>
    <w:rsid w:val="0061367A"/>
    <w:rsid w:val="006137A9"/>
    <w:rsid w:val="00613C7E"/>
    <w:rsid w:val="00614219"/>
    <w:rsid w:val="006142AD"/>
    <w:rsid w:val="006145EE"/>
    <w:rsid w:val="00614761"/>
    <w:rsid w:val="006148EB"/>
    <w:rsid w:val="00614D70"/>
    <w:rsid w:val="0061540E"/>
    <w:rsid w:val="00615552"/>
    <w:rsid w:val="00615BFB"/>
    <w:rsid w:val="00615CDA"/>
    <w:rsid w:val="00615DA9"/>
    <w:rsid w:val="006170E1"/>
    <w:rsid w:val="0061745E"/>
    <w:rsid w:val="006175F9"/>
    <w:rsid w:val="00617CB4"/>
    <w:rsid w:val="00617D6D"/>
    <w:rsid w:val="00620400"/>
    <w:rsid w:val="00620961"/>
    <w:rsid w:val="00620F89"/>
    <w:rsid w:val="00621454"/>
    <w:rsid w:val="006215EB"/>
    <w:rsid w:val="00621690"/>
    <w:rsid w:val="0062186E"/>
    <w:rsid w:val="00621C14"/>
    <w:rsid w:val="00621DD8"/>
    <w:rsid w:val="00622098"/>
    <w:rsid w:val="00622950"/>
    <w:rsid w:val="00622C01"/>
    <w:rsid w:val="00622E45"/>
    <w:rsid w:val="0062388D"/>
    <w:rsid w:val="00623A22"/>
    <w:rsid w:val="00623C72"/>
    <w:rsid w:val="00624101"/>
    <w:rsid w:val="006248F2"/>
    <w:rsid w:val="00624AFB"/>
    <w:rsid w:val="00624B89"/>
    <w:rsid w:val="00624FEA"/>
    <w:rsid w:val="00625973"/>
    <w:rsid w:val="00625B3F"/>
    <w:rsid w:val="006261AD"/>
    <w:rsid w:val="00626CAA"/>
    <w:rsid w:val="00626E10"/>
    <w:rsid w:val="00627AA2"/>
    <w:rsid w:val="006301F9"/>
    <w:rsid w:val="00630E05"/>
    <w:rsid w:val="00631401"/>
    <w:rsid w:val="0063175C"/>
    <w:rsid w:val="00631961"/>
    <w:rsid w:val="0063212B"/>
    <w:rsid w:val="00632337"/>
    <w:rsid w:val="00632897"/>
    <w:rsid w:val="00632E63"/>
    <w:rsid w:val="0063343E"/>
    <w:rsid w:val="006336F9"/>
    <w:rsid w:val="00633850"/>
    <w:rsid w:val="00633C00"/>
    <w:rsid w:val="00633CB8"/>
    <w:rsid w:val="00633D08"/>
    <w:rsid w:val="00633E3A"/>
    <w:rsid w:val="0063425F"/>
    <w:rsid w:val="00634483"/>
    <w:rsid w:val="00634797"/>
    <w:rsid w:val="00634BD5"/>
    <w:rsid w:val="00634D6E"/>
    <w:rsid w:val="00634E3D"/>
    <w:rsid w:val="0063549A"/>
    <w:rsid w:val="00635931"/>
    <w:rsid w:val="006361A9"/>
    <w:rsid w:val="006366BF"/>
    <w:rsid w:val="00636893"/>
    <w:rsid w:val="00637571"/>
    <w:rsid w:val="006402E2"/>
    <w:rsid w:val="00640362"/>
    <w:rsid w:val="00640622"/>
    <w:rsid w:val="00640874"/>
    <w:rsid w:val="00640BE3"/>
    <w:rsid w:val="006413F5"/>
    <w:rsid w:val="00641441"/>
    <w:rsid w:val="00641DDD"/>
    <w:rsid w:val="006429EE"/>
    <w:rsid w:val="00642D29"/>
    <w:rsid w:val="006434D1"/>
    <w:rsid w:val="00643822"/>
    <w:rsid w:val="00643F51"/>
    <w:rsid w:val="0064409C"/>
    <w:rsid w:val="00644390"/>
    <w:rsid w:val="0064450C"/>
    <w:rsid w:val="00644527"/>
    <w:rsid w:val="00644A96"/>
    <w:rsid w:val="00644DE0"/>
    <w:rsid w:val="00644DE9"/>
    <w:rsid w:val="006458CA"/>
    <w:rsid w:val="00645A97"/>
    <w:rsid w:val="00646C12"/>
    <w:rsid w:val="00646EE0"/>
    <w:rsid w:val="0064732D"/>
    <w:rsid w:val="00647501"/>
    <w:rsid w:val="0064752F"/>
    <w:rsid w:val="00647D55"/>
    <w:rsid w:val="00647E6E"/>
    <w:rsid w:val="006501A5"/>
    <w:rsid w:val="00650BC3"/>
    <w:rsid w:val="00651665"/>
    <w:rsid w:val="00652A8C"/>
    <w:rsid w:val="00652D4E"/>
    <w:rsid w:val="00653C60"/>
    <w:rsid w:val="0065412D"/>
    <w:rsid w:val="00654651"/>
    <w:rsid w:val="00654662"/>
    <w:rsid w:val="00654B95"/>
    <w:rsid w:val="00654FB4"/>
    <w:rsid w:val="0065623B"/>
    <w:rsid w:val="0065656F"/>
    <w:rsid w:val="006568D7"/>
    <w:rsid w:val="00656BED"/>
    <w:rsid w:val="00656E82"/>
    <w:rsid w:val="00657A4A"/>
    <w:rsid w:val="00657E3B"/>
    <w:rsid w:val="00660D8C"/>
    <w:rsid w:val="00660F56"/>
    <w:rsid w:val="00661270"/>
    <w:rsid w:val="0066137E"/>
    <w:rsid w:val="006614DD"/>
    <w:rsid w:val="00661ED9"/>
    <w:rsid w:val="00662758"/>
    <w:rsid w:val="00662826"/>
    <w:rsid w:val="00662CE4"/>
    <w:rsid w:val="00663060"/>
    <w:rsid w:val="0066322C"/>
    <w:rsid w:val="00663320"/>
    <w:rsid w:val="006633B1"/>
    <w:rsid w:val="006636F6"/>
    <w:rsid w:val="0066447B"/>
    <w:rsid w:val="00664687"/>
    <w:rsid w:val="00664737"/>
    <w:rsid w:val="00664A1F"/>
    <w:rsid w:val="0066501B"/>
    <w:rsid w:val="0066525F"/>
    <w:rsid w:val="00665AF5"/>
    <w:rsid w:val="00665B67"/>
    <w:rsid w:val="00665D92"/>
    <w:rsid w:val="00665DB8"/>
    <w:rsid w:val="0066669C"/>
    <w:rsid w:val="00666F8F"/>
    <w:rsid w:val="00667100"/>
    <w:rsid w:val="00667CA9"/>
    <w:rsid w:val="00667ECF"/>
    <w:rsid w:val="00670164"/>
    <w:rsid w:val="006702C7"/>
    <w:rsid w:val="00670517"/>
    <w:rsid w:val="00670E14"/>
    <w:rsid w:val="0067160C"/>
    <w:rsid w:val="00671869"/>
    <w:rsid w:val="00671B92"/>
    <w:rsid w:val="00671E44"/>
    <w:rsid w:val="006723C0"/>
    <w:rsid w:val="00672763"/>
    <w:rsid w:val="00672B0C"/>
    <w:rsid w:val="00672B9D"/>
    <w:rsid w:val="00673522"/>
    <w:rsid w:val="00673942"/>
    <w:rsid w:val="00673A4C"/>
    <w:rsid w:val="0067464A"/>
    <w:rsid w:val="00674A61"/>
    <w:rsid w:val="00674A86"/>
    <w:rsid w:val="00674B01"/>
    <w:rsid w:val="00674EAF"/>
    <w:rsid w:val="00674F78"/>
    <w:rsid w:val="006755C9"/>
    <w:rsid w:val="006758D6"/>
    <w:rsid w:val="0067592D"/>
    <w:rsid w:val="00675998"/>
    <w:rsid w:val="00675DE7"/>
    <w:rsid w:val="006761E6"/>
    <w:rsid w:val="00676338"/>
    <w:rsid w:val="00676620"/>
    <w:rsid w:val="006768A6"/>
    <w:rsid w:val="00676AAC"/>
    <w:rsid w:val="00676DC0"/>
    <w:rsid w:val="00677060"/>
    <w:rsid w:val="00677748"/>
    <w:rsid w:val="006777D4"/>
    <w:rsid w:val="00677AF5"/>
    <w:rsid w:val="0068027F"/>
    <w:rsid w:val="0068058A"/>
    <w:rsid w:val="006809F6"/>
    <w:rsid w:val="00680E6B"/>
    <w:rsid w:val="006816D5"/>
    <w:rsid w:val="006817C0"/>
    <w:rsid w:val="006819D8"/>
    <w:rsid w:val="00681BFE"/>
    <w:rsid w:val="00681C4C"/>
    <w:rsid w:val="00682B1D"/>
    <w:rsid w:val="00683250"/>
    <w:rsid w:val="0068375B"/>
    <w:rsid w:val="00683779"/>
    <w:rsid w:val="00683929"/>
    <w:rsid w:val="00684BF6"/>
    <w:rsid w:val="0068529E"/>
    <w:rsid w:val="00685552"/>
    <w:rsid w:val="00685CE7"/>
    <w:rsid w:val="00686503"/>
    <w:rsid w:val="00686D31"/>
    <w:rsid w:val="00690BA0"/>
    <w:rsid w:val="00690E52"/>
    <w:rsid w:val="006914F6"/>
    <w:rsid w:val="00691CD2"/>
    <w:rsid w:val="0069219B"/>
    <w:rsid w:val="0069233F"/>
    <w:rsid w:val="006924E8"/>
    <w:rsid w:val="00692EBB"/>
    <w:rsid w:val="0069306F"/>
    <w:rsid w:val="0069327B"/>
    <w:rsid w:val="006934B1"/>
    <w:rsid w:val="00693E18"/>
    <w:rsid w:val="0069416A"/>
    <w:rsid w:val="0069475A"/>
    <w:rsid w:val="00694A39"/>
    <w:rsid w:val="00694B04"/>
    <w:rsid w:val="00695978"/>
    <w:rsid w:val="00695F80"/>
    <w:rsid w:val="006960C7"/>
    <w:rsid w:val="006962C6"/>
    <w:rsid w:val="006965A9"/>
    <w:rsid w:val="0069679F"/>
    <w:rsid w:val="0069699F"/>
    <w:rsid w:val="00696D72"/>
    <w:rsid w:val="00696F2D"/>
    <w:rsid w:val="006970C6"/>
    <w:rsid w:val="0069739E"/>
    <w:rsid w:val="00697604"/>
    <w:rsid w:val="006979B5"/>
    <w:rsid w:val="006979BC"/>
    <w:rsid w:val="00697BC2"/>
    <w:rsid w:val="00697F69"/>
    <w:rsid w:val="006A0710"/>
    <w:rsid w:val="006A0DB2"/>
    <w:rsid w:val="006A1CAF"/>
    <w:rsid w:val="006A1DA1"/>
    <w:rsid w:val="006A2084"/>
    <w:rsid w:val="006A249A"/>
    <w:rsid w:val="006A2787"/>
    <w:rsid w:val="006A27FA"/>
    <w:rsid w:val="006A283B"/>
    <w:rsid w:val="006A2B5F"/>
    <w:rsid w:val="006A2E01"/>
    <w:rsid w:val="006A301B"/>
    <w:rsid w:val="006A3318"/>
    <w:rsid w:val="006A3A61"/>
    <w:rsid w:val="006A3B04"/>
    <w:rsid w:val="006A3C2E"/>
    <w:rsid w:val="006A429B"/>
    <w:rsid w:val="006A46D4"/>
    <w:rsid w:val="006A49F6"/>
    <w:rsid w:val="006A4A7A"/>
    <w:rsid w:val="006A4B1C"/>
    <w:rsid w:val="006A5025"/>
    <w:rsid w:val="006A51C2"/>
    <w:rsid w:val="006A51EF"/>
    <w:rsid w:val="006A542B"/>
    <w:rsid w:val="006A5872"/>
    <w:rsid w:val="006A5D3D"/>
    <w:rsid w:val="006A6A92"/>
    <w:rsid w:val="006A7619"/>
    <w:rsid w:val="006A7810"/>
    <w:rsid w:val="006A7847"/>
    <w:rsid w:val="006A7888"/>
    <w:rsid w:val="006A79C2"/>
    <w:rsid w:val="006A7AD3"/>
    <w:rsid w:val="006B0894"/>
    <w:rsid w:val="006B0B15"/>
    <w:rsid w:val="006B1068"/>
    <w:rsid w:val="006B11D9"/>
    <w:rsid w:val="006B13F9"/>
    <w:rsid w:val="006B14C9"/>
    <w:rsid w:val="006B1B52"/>
    <w:rsid w:val="006B1BC6"/>
    <w:rsid w:val="006B1BE6"/>
    <w:rsid w:val="006B1DFC"/>
    <w:rsid w:val="006B1EB5"/>
    <w:rsid w:val="006B21D9"/>
    <w:rsid w:val="006B2759"/>
    <w:rsid w:val="006B29FA"/>
    <w:rsid w:val="006B3059"/>
    <w:rsid w:val="006B306E"/>
    <w:rsid w:val="006B36D8"/>
    <w:rsid w:val="006B3AB7"/>
    <w:rsid w:val="006B6113"/>
    <w:rsid w:val="006B6F37"/>
    <w:rsid w:val="006B6FB6"/>
    <w:rsid w:val="006B702F"/>
    <w:rsid w:val="006B77C2"/>
    <w:rsid w:val="006C0110"/>
    <w:rsid w:val="006C0200"/>
    <w:rsid w:val="006C0512"/>
    <w:rsid w:val="006C0608"/>
    <w:rsid w:val="006C0B18"/>
    <w:rsid w:val="006C0EAC"/>
    <w:rsid w:val="006C17B2"/>
    <w:rsid w:val="006C1DE3"/>
    <w:rsid w:val="006C2336"/>
    <w:rsid w:val="006C3A68"/>
    <w:rsid w:val="006C4474"/>
    <w:rsid w:val="006C4888"/>
    <w:rsid w:val="006C4A06"/>
    <w:rsid w:val="006C4ADB"/>
    <w:rsid w:val="006C4E94"/>
    <w:rsid w:val="006C582A"/>
    <w:rsid w:val="006C590F"/>
    <w:rsid w:val="006C6445"/>
    <w:rsid w:val="006C688A"/>
    <w:rsid w:val="006C710B"/>
    <w:rsid w:val="006C74F5"/>
    <w:rsid w:val="006C7A81"/>
    <w:rsid w:val="006C7FFD"/>
    <w:rsid w:val="006D0547"/>
    <w:rsid w:val="006D0BFA"/>
    <w:rsid w:val="006D0E03"/>
    <w:rsid w:val="006D1C61"/>
    <w:rsid w:val="006D1F58"/>
    <w:rsid w:val="006D252D"/>
    <w:rsid w:val="006D2FA4"/>
    <w:rsid w:val="006D333F"/>
    <w:rsid w:val="006D35A0"/>
    <w:rsid w:val="006D4159"/>
    <w:rsid w:val="006D445E"/>
    <w:rsid w:val="006D4BFA"/>
    <w:rsid w:val="006D5120"/>
    <w:rsid w:val="006D5C9E"/>
    <w:rsid w:val="006D60C6"/>
    <w:rsid w:val="006D6D48"/>
    <w:rsid w:val="006D722C"/>
    <w:rsid w:val="006D78C3"/>
    <w:rsid w:val="006D7912"/>
    <w:rsid w:val="006D7BD9"/>
    <w:rsid w:val="006D7FE4"/>
    <w:rsid w:val="006E049C"/>
    <w:rsid w:val="006E0945"/>
    <w:rsid w:val="006E18AB"/>
    <w:rsid w:val="006E1C05"/>
    <w:rsid w:val="006E237E"/>
    <w:rsid w:val="006E2520"/>
    <w:rsid w:val="006E39B1"/>
    <w:rsid w:val="006E4647"/>
    <w:rsid w:val="006E4CC9"/>
    <w:rsid w:val="006E5C47"/>
    <w:rsid w:val="006E6000"/>
    <w:rsid w:val="006E6431"/>
    <w:rsid w:val="006E6789"/>
    <w:rsid w:val="006E6A82"/>
    <w:rsid w:val="006E7392"/>
    <w:rsid w:val="006E7479"/>
    <w:rsid w:val="006E79AD"/>
    <w:rsid w:val="006E7E38"/>
    <w:rsid w:val="006F0B70"/>
    <w:rsid w:val="006F12E3"/>
    <w:rsid w:val="006F1843"/>
    <w:rsid w:val="006F18DC"/>
    <w:rsid w:val="006F20DB"/>
    <w:rsid w:val="006F2C1B"/>
    <w:rsid w:val="006F3254"/>
    <w:rsid w:val="006F34DE"/>
    <w:rsid w:val="006F3ADC"/>
    <w:rsid w:val="006F3CBB"/>
    <w:rsid w:val="006F45D2"/>
    <w:rsid w:val="006F48DD"/>
    <w:rsid w:val="006F4AF4"/>
    <w:rsid w:val="006F4EEE"/>
    <w:rsid w:val="006F5E62"/>
    <w:rsid w:val="006F61FE"/>
    <w:rsid w:val="006F630C"/>
    <w:rsid w:val="006F655A"/>
    <w:rsid w:val="006F6DB4"/>
    <w:rsid w:val="006F6F18"/>
    <w:rsid w:val="006F71B6"/>
    <w:rsid w:val="006F7B12"/>
    <w:rsid w:val="00701516"/>
    <w:rsid w:val="00701550"/>
    <w:rsid w:val="00701681"/>
    <w:rsid w:val="00701B17"/>
    <w:rsid w:val="00701F02"/>
    <w:rsid w:val="007023A8"/>
    <w:rsid w:val="00702E6A"/>
    <w:rsid w:val="00703517"/>
    <w:rsid w:val="007037D3"/>
    <w:rsid w:val="00703875"/>
    <w:rsid w:val="00703F3E"/>
    <w:rsid w:val="0070404F"/>
    <w:rsid w:val="00704C5E"/>
    <w:rsid w:val="00704DD2"/>
    <w:rsid w:val="00705126"/>
    <w:rsid w:val="007051F5"/>
    <w:rsid w:val="00705BB7"/>
    <w:rsid w:val="00705F16"/>
    <w:rsid w:val="00706B95"/>
    <w:rsid w:val="00706DBB"/>
    <w:rsid w:val="007072F8"/>
    <w:rsid w:val="0071066A"/>
    <w:rsid w:val="00710B14"/>
    <w:rsid w:val="00710D03"/>
    <w:rsid w:val="00710F31"/>
    <w:rsid w:val="00711050"/>
    <w:rsid w:val="00711477"/>
    <w:rsid w:val="00711B88"/>
    <w:rsid w:val="00712606"/>
    <w:rsid w:val="007126B9"/>
    <w:rsid w:val="0071355D"/>
    <w:rsid w:val="00713CA6"/>
    <w:rsid w:val="00713DC9"/>
    <w:rsid w:val="00713E21"/>
    <w:rsid w:val="00714995"/>
    <w:rsid w:val="00714A55"/>
    <w:rsid w:val="00714C1B"/>
    <w:rsid w:val="00714C93"/>
    <w:rsid w:val="00715B16"/>
    <w:rsid w:val="00715B76"/>
    <w:rsid w:val="00716D18"/>
    <w:rsid w:val="00716F84"/>
    <w:rsid w:val="00717027"/>
    <w:rsid w:val="00717098"/>
    <w:rsid w:val="00717217"/>
    <w:rsid w:val="00717F99"/>
    <w:rsid w:val="0072010D"/>
    <w:rsid w:val="0072098D"/>
    <w:rsid w:val="00720A1B"/>
    <w:rsid w:val="00720A4F"/>
    <w:rsid w:val="00720B19"/>
    <w:rsid w:val="00721C7B"/>
    <w:rsid w:val="00721D1B"/>
    <w:rsid w:val="00721E59"/>
    <w:rsid w:val="00722049"/>
    <w:rsid w:val="007222C0"/>
    <w:rsid w:val="0072254F"/>
    <w:rsid w:val="007227AA"/>
    <w:rsid w:val="00722A9C"/>
    <w:rsid w:val="00722F18"/>
    <w:rsid w:val="00722FDC"/>
    <w:rsid w:val="007233B1"/>
    <w:rsid w:val="007236E2"/>
    <w:rsid w:val="0072397C"/>
    <w:rsid w:val="00723EB0"/>
    <w:rsid w:val="00724115"/>
    <w:rsid w:val="00724196"/>
    <w:rsid w:val="0072463F"/>
    <w:rsid w:val="0072466B"/>
    <w:rsid w:val="00724C57"/>
    <w:rsid w:val="00725145"/>
    <w:rsid w:val="007252D6"/>
    <w:rsid w:val="007253A3"/>
    <w:rsid w:val="0072598B"/>
    <w:rsid w:val="007259C8"/>
    <w:rsid w:val="007260FD"/>
    <w:rsid w:val="00726621"/>
    <w:rsid w:val="0072699F"/>
    <w:rsid w:val="00726C23"/>
    <w:rsid w:val="00726E1A"/>
    <w:rsid w:val="007270A0"/>
    <w:rsid w:val="007273EE"/>
    <w:rsid w:val="00727487"/>
    <w:rsid w:val="00727743"/>
    <w:rsid w:val="00727A29"/>
    <w:rsid w:val="00727B70"/>
    <w:rsid w:val="00730BD4"/>
    <w:rsid w:val="00730D6F"/>
    <w:rsid w:val="00731344"/>
    <w:rsid w:val="00731499"/>
    <w:rsid w:val="007314F5"/>
    <w:rsid w:val="00731501"/>
    <w:rsid w:val="00731A9E"/>
    <w:rsid w:val="0073213A"/>
    <w:rsid w:val="00732488"/>
    <w:rsid w:val="00732747"/>
    <w:rsid w:val="0073299F"/>
    <w:rsid w:val="00732A38"/>
    <w:rsid w:val="00733253"/>
    <w:rsid w:val="00733433"/>
    <w:rsid w:val="00733ACF"/>
    <w:rsid w:val="0073471B"/>
    <w:rsid w:val="007349AD"/>
    <w:rsid w:val="00734C19"/>
    <w:rsid w:val="00734EC6"/>
    <w:rsid w:val="0073525A"/>
    <w:rsid w:val="00735585"/>
    <w:rsid w:val="00735806"/>
    <w:rsid w:val="00736092"/>
    <w:rsid w:val="0073681A"/>
    <w:rsid w:val="007372A6"/>
    <w:rsid w:val="00737DBB"/>
    <w:rsid w:val="00740079"/>
    <w:rsid w:val="00740130"/>
    <w:rsid w:val="00740C75"/>
    <w:rsid w:val="00740FA2"/>
    <w:rsid w:val="0074145B"/>
    <w:rsid w:val="007418E4"/>
    <w:rsid w:val="007425C6"/>
    <w:rsid w:val="007427EC"/>
    <w:rsid w:val="007429F2"/>
    <w:rsid w:val="007431E3"/>
    <w:rsid w:val="00743640"/>
    <w:rsid w:val="00743773"/>
    <w:rsid w:val="00743F3F"/>
    <w:rsid w:val="00744859"/>
    <w:rsid w:val="00744CF6"/>
    <w:rsid w:val="00744F54"/>
    <w:rsid w:val="007456D6"/>
    <w:rsid w:val="007456FE"/>
    <w:rsid w:val="00746B0F"/>
    <w:rsid w:val="00746E93"/>
    <w:rsid w:val="00746FCA"/>
    <w:rsid w:val="0074722A"/>
    <w:rsid w:val="0075048B"/>
    <w:rsid w:val="007504E6"/>
    <w:rsid w:val="0075056B"/>
    <w:rsid w:val="00750781"/>
    <w:rsid w:val="00751125"/>
    <w:rsid w:val="00751D18"/>
    <w:rsid w:val="00752517"/>
    <w:rsid w:val="007525FF"/>
    <w:rsid w:val="00752BBE"/>
    <w:rsid w:val="00753834"/>
    <w:rsid w:val="007539AD"/>
    <w:rsid w:val="007547C0"/>
    <w:rsid w:val="00754C8F"/>
    <w:rsid w:val="007552CD"/>
    <w:rsid w:val="007556AB"/>
    <w:rsid w:val="00755C88"/>
    <w:rsid w:val="00756369"/>
    <w:rsid w:val="007564C6"/>
    <w:rsid w:val="00756B63"/>
    <w:rsid w:val="00756BDC"/>
    <w:rsid w:val="007572A5"/>
    <w:rsid w:val="007573A2"/>
    <w:rsid w:val="00757CDC"/>
    <w:rsid w:val="00757E11"/>
    <w:rsid w:val="0076051E"/>
    <w:rsid w:val="007607BE"/>
    <w:rsid w:val="007614BB"/>
    <w:rsid w:val="00761675"/>
    <w:rsid w:val="00761878"/>
    <w:rsid w:val="00762965"/>
    <w:rsid w:val="00762BD4"/>
    <w:rsid w:val="00762F93"/>
    <w:rsid w:val="00763347"/>
    <w:rsid w:val="007635DA"/>
    <w:rsid w:val="00764984"/>
    <w:rsid w:val="00764B54"/>
    <w:rsid w:val="00764B97"/>
    <w:rsid w:val="00764BC8"/>
    <w:rsid w:val="00764FB0"/>
    <w:rsid w:val="00764FC7"/>
    <w:rsid w:val="007654CD"/>
    <w:rsid w:val="00765D6C"/>
    <w:rsid w:val="00766687"/>
    <w:rsid w:val="007669E3"/>
    <w:rsid w:val="00767009"/>
    <w:rsid w:val="007671E3"/>
    <w:rsid w:val="007672F3"/>
    <w:rsid w:val="00767835"/>
    <w:rsid w:val="00767D07"/>
    <w:rsid w:val="0077056E"/>
    <w:rsid w:val="00770657"/>
    <w:rsid w:val="00770E1E"/>
    <w:rsid w:val="007714BC"/>
    <w:rsid w:val="007715C3"/>
    <w:rsid w:val="00771FBF"/>
    <w:rsid w:val="00772288"/>
    <w:rsid w:val="007726F1"/>
    <w:rsid w:val="007728D4"/>
    <w:rsid w:val="0077349A"/>
    <w:rsid w:val="0077367D"/>
    <w:rsid w:val="00773B9C"/>
    <w:rsid w:val="007741D2"/>
    <w:rsid w:val="00774A6C"/>
    <w:rsid w:val="00775064"/>
    <w:rsid w:val="00775C20"/>
    <w:rsid w:val="00775E7C"/>
    <w:rsid w:val="00775ECB"/>
    <w:rsid w:val="007764D2"/>
    <w:rsid w:val="0077695D"/>
    <w:rsid w:val="00776A45"/>
    <w:rsid w:val="00776A48"/>
    <w:rsid w:val="00777A62"/>
    <w:rsid w:val="00780315"/>
    <w:rsid w:val="007807D4"/>
    <w:rsid w:val="00780A2A"/>
    <w:rsid w:val="00780EEE"/>
    <w:rsid w:val="0078132E"/>
    <w:rsid w:val="0078167F"/>
    <w:rsid w:val="0078173A"/>
    <w:rsid w:val="00781CE2"/>
    <w:rsid w:val="00781DE2"/>
    <w:rsid w:val="00781FFF"/>
    <w:rsid w:val="007826A3"/>
    <w:rsid w:val="00782E8D"/>
    <w:rsid w:val="00782E94"/>
    <w:rsid w:val="00782ED8"/>
    <w:rsid w:val="00783519"/>
    <w:rsid w:val="0078358B"/>
    <w:rsid w:val="007839E3"/>
    <w:rsid w:val="00783CE2"/>
    <w:rsid w:val="00783D67"/>
    <w:rsid w:val="00784389"/>
    <w:rsid w:val="007843FB"/>
    <w:rsid w:val="00784FBA"/>
    <w:rsid w:val="0078566C"/>
    <w:rsid w:val="00785CDA"/>
    <w:rsid w:val="00785F37"/>
    <w:rsid w:val="00786CD8"/>
    <w:rsid w:val="00787833"/>
    <w:rsid w:val="00787AB0"/>
    <w:rsid w:val="00790285"/>
    <w:rsid w:val="00790DEE"/>
    <w:rsid w:val="007917D3"/>
    <w:rsid w:val="00791832"/>
    <w:rsid w:val="00791A40"/>
    <w:rsid w:val="00791F11"/>
    <w:rsid w:val="00792545"/>
    <w:rsid w:val="00792FD1"/>
    <w:rsid w:val="007938C7"/>
    <w:rsid w:val="00793DD4"/>
    <w:rsid w:val="007940A1"/>
    <w:rsid w:val="00794F51"/>
    <w:rsid w:val="0079584E"/>
    <w:rsid w:val="0079596B"/>
    <w:rsid w:val="0079645C"/>
    <w:rsid w:val="00797543"/>
    <w:rsid w:val="007978D4"/>
    <w:rsid w:val="007A10D3"/>
    <w:rsid w:val="007A1C97"/>
    <w:rsid w:val="007A287C"/>
    <w:rsid w:val="007A2A06"/>
    <w:rsid w:val="007A324D"/>
    <w:rsid w:val="007A35E8"/>
    <w:rsid w:val="007A39BD"/>
    <w:rsid w:val="007A3C0E"/>
    <w:rsid w:val="007A3DB2"/>
    <w:rsid w:val="007A3EEA"/>
    <w:rsid w:val="007A4034"/>
    <w:rsid w:val="007A431F"/>
    <w:rsid w:val="007A5039"/>
    <w:rsid w:val="007A516B"/>
    <w:rsid w:val="007A528E"/>
    <w:rsid w:val="007A55EA"/>
    <w:rsid w:val="007A5CD6"/>
    <w:rsid w:val="007A5D67"/>
    <w:rsid w:val="007A6384"/>
    <w:rsid w:val="007A6388"/>
    <w:rsid w:val="007A694B"/>
    <w:rsid w:val="007A6BBF"/>
    <w:rsid w:val="007B014D"/>
    <w:rsid w:val="007B0486"/>
    <w:rsid w:val="007B0948"/>
    <w:rsid w:val="007B138B"/>
    <w:rsid w:val="007B152D"/>
    <w:rsid w:val="007B163A"/>
    <w:rsid w:val="007B167A"/>
    <w:rsid w:val="007B1725"/>
    <w:rsid w:val="007B19D3"/>
    <w:rsid w:val="007B1A9F"/>
    <w:rsid w:val="007B1EFC"/>
    <w:rsid w:val="007B2958"/>
    <w:rsid w:val="007B2F10"/>
    <w:rsid w:val="007B305E"/>
    <w:rsid w:val="007B351E"/>
    <w:rsid w:val="007B3A2A"/>
    <w:rsid w:val="007B4025"/>
    <w:rsid w:val="007B415C"/>
    <w:rsid w:val="007B4516"/>
    <w:rsid w:val="007B47B4"/>
    <w:rsid w:val="007B4CD1"/>
    <w:rsid w:val="007B57F4"/>
    <w:rsid w:val="007B5C9A"/>
    <w:rsid w:val="007B5DDA"/>
    <w:rsid w:val="007B5E0C"/>
    <w:rsid w:val="007B5EA5"/>
    <w:rsid w:val="007B5ED2"/>
    <w:rsid w:val="007B643F"/>
    <w:rsid w:val="007B69C3"/>
    <w:rsid w:val="007B6B40"/>
    <w:rsid w:val="007B6D4E"/>
    <w:rsid w:val="007B6E43"/>
    <w:rsid w:val="007B7C28"/>
    <w:rsid w:val="007B7DF7"/>
    <w:rsid w:val="007C0427"/>
    <w:rsid w:val="007C0541"/>
    <w:rsid w:val="007C0652"/>
    <w:rsid w:val="007C1093"/>
    <w:rsid w:val="007C17DC"/>
    <w:rsid w:val="007C1846"/>
    <w:rsid w:val="007C2448"/>
    <w:rsid w:val="007C2D7E"/>
    <w:rsid w:val="007C309B"/>
    <w:rsid w:val="007C3226"/>
    <w:rsid w:val="007C33CF"/>
    <w:rsid w:val="007C3684"/>
    <w:rsid w:val="007C375F"/>
    <w:rsid w:val="007C3818"/>
    <w:rsid w:val="007C3A66"/>
    <w:rsid w:val="007C3C51"/>
    <w:rsid w:val="007C3D01"/>
    <w:rsid w:val="007C3E82"/>
    <w:rsid w:val="007C4144"/>
    <w:rsid w:val="007C458F"/>
    <w:rsid w:val="007C47BB"/>
    <w:rsid w:val="007C4BE0"/>
    <w:rsid w:val="007C4EF9"/>
    <w:rsid w:val="007C546F"/>
    <w:rsid w:val="007C5943"/>
    <w:rsid w:val="007C5BB7"/>
    <w:rsid w:val="007C5ECD"/>
    <w:rsid w:val="007C6535"/>
    <w:rsid w:val="007C659B"/>
    <w:rsid w:val="007C68CE"/>
    <w:rsid w:val="007C6AC3"/>
    <w:rsid w:val="007C6D2B"/>
    <w:rsid w:val="007C6E49"/>
    <w:rsid w:val="007C6FFB"/>
    <w:rsid w:val="007C7688"/>
    <w:rsid w:val="007D03CE"/>
    <w:rsid w:val="007D064C"/>
    <w:rsid w:val="007D0B0B"/>
    <w:rsid w:val="007D10CE"/>
    <w:rsid w:val="007D11DF"/>
    <w:rsid w:val="007D12C4"/>
    <w:rsid w:val="007D1A9A"/>
    <w:rsid w:val="007D1CAE"/>
    <w:rsid w:val="007D23EC"/>
    <w:rsid w:val="007D2EE0"/>
    <w:rsid w:val="007D2F82"/>
    <w:rsid w:val="007D3821"/>
    <w:rsid w:val="007D3AE4"/>
    <w:rsid w:val="007D4187"/>
    <w:rsid w:val="007D426F"/>
    <w:rsid w:val="007D430A"/>
    <w:rsid w:val="007D4940"/>
    <w:rsid w:val="007D4EF9"/>
    <w:rsid w:val="007D5563"/>
    <w:rsid w:val="007D56F8"/>
    <w:rsid w:val="007D5978"/>
    <w:rsid w:val="007D5A71"/>
    <w:rsid w:val="007D5E88"/>
    <w:rsid w:val="007D5F1E"/>
    <w:rsid w:val="007D5FF8"/>
    <w:rsid w:val="007D63AE"/>
    <w:rsid w:val="007D68E2"/>
    <w:rsid w:val="007D6908"/>
    <w:rsid w:val="007D74C7"/>
    <w:rsid w:val="007D763B"/>
    <w:rsid w:val="007D76D4"/>
    <w:rsid w:val="007D7FB0"/>
    <w:rsid w:val="007E060F"/>
    <w:rsid w:val="007E06CE"/>
    <w:rsid w:val="007E0CF6"/>
    <w:rsid w:val="007E1141"/>
    <w:rsid w:val="007E1250"/>
    <w:rsid w:val="007E152A"/>
    <w:rsid w:val="007E18B3"/>
    <w:rsid w:val="007E2098"/>
    <w:rsid w:val="007E20A2"/>
    <w:rsid w:val="007E37CD"/>
    <w:rsid w:val="007E45EF"/>
    <w:rsid w:val="007E486D"/>
    <w:rsid w:val="007E4D86"/>
    <w:rsid w:val="007E4E15"/>
    <w:rsid w:val="007E4FBC"/>
    <w:rsid w:val="007E56CE"/>
    <w:rsid w:val="007E58B9"/>
    <w:rsid w:val="007E6389"/>
    <w:rsid w:val="007E6551"/>
    <w:rsid w:val="007E7B86"/>
    <w:rsid w:val="007E7C0F"/>
    <w:rsid w:val="007F0283"/>
    <w:rsid w:val="007F06F8"/>
    <w:rsid w:val="007F0987"/>
    <w:rsid w:val="007F12AE"/>
    <w:rsid w:val="007F133B"/>
    <w:rsid w:val="007F1FFC"/>
    <w:rsid w:val="007F27DE"/>
    <w:rsid w:val="007F2A8B"/>
    <w:rsid w:val="007F2B3C"/>
    <w:rsid w:val="007F2B81"/>
    <w:rsid w:val="007F3037"/>
    <w:rsid w:val="007F3B3B"/>
    <w:rsid w:val="007F3C63"/>
    <w:rsid w:val="007F42D1"/>
    <w:rsid w:val="007F45A0"/>
    <w:rsid w:val="007F47AA"/>
    <w:rsid w:val="007F51B8"/>
    <w:rsid w:val="007F54C6"/>
    <w:rsid w:val="007F5502"/>
    <w:rsid w:val="007F558E"/>
    <w:rsid w:val="007F5765"/>
    <w:rsid w:val="007F5ACB"/>
    <w:rsid w:val="007F5F98"/>
    <w:rsid w:val="007F6CA1"/>
    <w:rsid w:val="007F724E"/>
    <w:rsid w:val="007F736E"/>
    <w:rsid w:val="007F7526"/>
    <w:rsid w:val="00800659"/>
    <w:rsid w:val="00800C44"/>
    <w:rsid w:val="00801536"/>
    <w:rsid w:val="00801C8A"/>
    <w:rsid w:val="00801DA3"/>
    <w:rsid w:val="00801E44"/>
    <w:rsid w:val="00802407"/>
    <w:rsid w:val="00802FD8"/>
    <w:rsid w:val="00803A17"/>
    <w:rsid w:val="00803A75"/>
    <w:rsid w:val="00803E58"/>
    <w:rsid w:val="00804745"/>
    <w:rsid w:val="00804831"/>
    <w:rsid w:val="00804A7E"/>
    <w:rsid w:val="008050AF"/>
    <w:rsid w:val="00805589"/>
    <w:rsid w:val="00805A1D"/>
    <w:rsid w:val="00805CE0"/>
    <w:rsid w:val="00805D01"/>
    <w:rsid w:val="00806549"/>
    <w:rsid w:val="008067D6"/>
    <w:rsid w:val="00806AC2"/>
    <w:rsid w:val="00806E01"/>
    <w:rsid w:val="008100EE"/>
    <w:rsid w:val="008111E9"/>
    <w:rsid w:val="008119D5"/>
    <w:rsid w:val="008122FB"/>
    <w:rsid w:val="00812421"/>
    <w:rsid w:val="00812610"/>
    <w:rsid w:val="00812FBA"/>
    <w:rsid w:val="00812FCF"/>
    <w:rsid w:val="00813A1E"/>
    <w:rsid w:val="00813FC1"/>
    <w:rsid w:val="00814116"/>
    <w:rsid w:val="0081478A"/>
    <w:rsid w:val="00815273"/>
    <w:rsid w:val="00815865"/>
    <w:rsid w:val="00815EEC"/>
    <w:rsid w:val="00817254"/>
    <w:rsid w:val="00820D94"/>
    <w:rsid w:val="00821616"/>
    <w:rsid w:val="00821FDF"/>
    <w:rsid w:val="008221EA"/>
    <w:rsid w:val="008222CD"/>
    <w:rsid w:val="0082238D"/>
    <w:rsid w:val="00822984"/>
    <w:rsid w:val="00822A82"/>
    <w:rsid w:val="0082301F"/>
    <w:rsid w:val="00824030"/>
    <w:rsid w:val="0082414E"/>
    <w:rsid w:val="00824535"/>
    <w:rsid w:val="008248EA"/>
    <w:rsid w:val="0082492F"/>
    <w:rsid w:val="008249CC"/>
    <w:rsid w:val="00824A8E"/>
    <w:rsid w:val="00824DE5"/>
    <w:rsid w:val="008255C5"/>
    <w:rsid w:val="008258F1"/>
    <w:rsid w:val="00825CB6"/>
    <w:rsid w:val="00825E25"/>
    <w:rsid w:val="00826B4F"/>
    <w:rsid w:val="00826E4D"/>
    <w:rsid w:val="008276EA"/>
    <w:rsid w:val="008278F8"/>
    <w:rsid w:val="008279DA"/>
    <w:rsid w:val="00827A02"/>
    <w:rsid w:val="00827A4F"/>
    <w:rsid w:val="00827ABE"/>
    <w:rsid w:val="00827E8E"/>
    <w:rsid w:val="00827F17"/>
    <w:rsid w:val="00831B8C"/>
    <w:rsid w:val="00831C1F"/>
    <w:rsid w:val="00832319"/>
    <w:rsid w:val="0083275F"/>
    <w:rsid w:val="0083324B"/>
    <w:rsid w:val="008338B0"/>
    <w:rsid w:val="00833C06"/>
    <w:rsid w:val="008341B7"/>
    <w:rsid w:val="00834368"/>
    <w:rsid w:val="00834A7B"/>
    <w:rsid w:val="00834C1A"/>
    <w:rsid w:val="00834ED4"/>
    <w:rsid w:val="0083529A"/>
    <w:rsid w:val="008352DB"/>
    <w:rsid w:val="008355B9"/>
    <w:rsid w:val="0083588E"/>
    <w:rsid w:val="0083596F"/>
    <w:rsid w:val="008363B0"/>
    <w:rsid w:val="00836B96"/>
    <w:rsid w:val="00836C0C"/>
    <w:rsid w:val="00836CB8"/>
    <w:rsid w:val="00836D08"/>
    <w:rsid w:val="00836E68"/>
    <w:rsid w:val="00836FE3"/>
    <w:rsid w:val="00837399"/>
    <w:rsid w:val="0083746C"/>
    <w:rsid w:val="00837560"/>
    <w:rsid w:val="00837810"/>
    <w:rsid w:val="00840BB8"/>
    <w:rsid w:val="008414A9"/>
    <w:rsid w:val="0084198E"/>
    <w:rsid w:val="00841A5E"/>
    <w:rsid w:val="00841F3B"/>
    <w:rsid w:val="0084204F"/>
    <w:rsid w:val="0084257B"/>
    <w:rsid w:val="008426A6"/>
    <w:rsid w:val="00842BCB"/>
    <w:rsid w:val="008431E6"/>
    <w:rsid w:val="008434C4"/>
    <w:rsid w:val="00843BB1"/>
    <w:rsid w:val="00843D3D"/>
    <w:rsid w:val="00843E25"/>
    <w:rsid w:val="00843EAA"/>
    <w:rsid w:val="00844AEA"/>
    <w:rsid w:val="00844DCC"/>
    <w:rsid w:val="008458B8"/>
    <w:rsid w:val="00846024"/>
    <w:rsid w:val="00846108"/>
    <w:rsid w:val="00846251"/>
    <w:rsid w:val="008466ED"/>
    <w:rsid w:val="00846D5E"/>
    <w:rsid w:val="008477AA"/>
    <w:rsid w:val="00847965"/>
    <w:rsid w:val="00847A2C"/>
    <w:rsid w:val="00847DC7"/>
    <w:rsid w:val="008500FA"/>
    <w:rsid w:val="00850356"/>
    <w:rsid w:val="008504CE"/>
    <w:rsid w:val="0085090F"/>
    <w:rsid w:val="00850DE6"/>
    <w:rsid w:val="00851244"/>
    <w:rsid w:val="00851311"/>
    <w:rsid w:val="00851357"/>
    <w:rsid w:val="008517EA"/>
    <w:rsid w:val="0085231F"/>
    <w:rsid w:val="0085253C"/>
    <w:rsid w:val="00852A44"/>
    <w:rsid w:val="008530B5"/>
    <w:rsid w:val="008530B8"/>
    <w:rsid w:val="00853437"/>
    <w:rsid w:val="0085403D"/>
    <w:rsid w:val="008543D2"/>
    <w:rsid w:val="00854BFD"/>
    <w:rsid w:val="00854C59"/>
    <w:rsid w:val="00854C5E"/>
    <w:rsid w:val="00855111"/>
    <w:rsid w:val="0085512F"/>
    <w:rsid w:val="008554BE"/>
    <w:rsid w:val="00855570"/>
    <w:rsid w:val="00855942"/>
    <w:rsid w:val="008561BE"/>
    <w:rsid w:val="0085622E"/>
    <w:rsid w:val="008566E7"/>
    <w:rsid w:val="00856DD1"/>
    <w:rsid w:val="00856F86"/>
    <w:rsid w:val="00857093"/>
    <w:rsid w:val="008571DB"/>
    <w:rsid w:val="0086007D"/>
    <w:rsid w:val="008600F7"/>
    <w:rsid w:val="008607F2"/>
    <w:rsid w:val="0086090E"/>
    <w:rsid w:val="00860A01"/>
    <w:rsid w:val="00860A2E"/>
    <w:rsid w:val="00860C50"/>
    <w:rsid w:val="00860CB7"/>
    <w:rsid w:val="00860DE8"/>
    <w:rsid w:val="00860E08"/>
    <w:rsid w:val="008619EB"/>
    <w:rsid w:val="00861A96"/>
    <w:rsid w:val="00861AB8"/>
    <w:rsid w:val="00861C70"/>
    <w:rsid w:val="00861E6B"/>
    <w:rsid w:val="0086242E"/>
    <w:rsid w:val="00862640"/>
    <w:rsid w:val="008629CC"/>
    <w:rsid w:val="00862F26"/>
    <w:rsid w:val="00862F7B"/>
    <w:rsid w:val="00863C67"/>
    <w:rsid w:val="00863FD1"/>
    <w:rsid w:val="00864600"/>
    <w:rsid w:val="00864602"/>
    <w:rsid w:val="008654D4"/>
    <w:rsid w:val="0086553B"/>
    <w:rsid w:val="008657D8"/>
    <w:rsid w:val="0086580D"/>
    <w:rsid w:val="00865F20"/>
    <w:rsid w:val="00866152"/>
    <w:rsid w:val="00866ACB"/>
    <w:rsid w:val="00866EC3"/>
    <w:rsid w:val="00866F77"/>
    <w:rsid w:val="00866FD1"/>
    <w:rsid w:val="00867484"/>
    <w:rsid w:val="0086780F"/>
    <w:rsid w:val="00867CC8"/>
    <w:rsid w:val="00867FCB"/>
    <w:rsid w:val="008710E0"/>
    <w:rsid w:val="008712E0"/>
    <w:rsid w:val="00872649"/>
    <w:rsid w:val="008726EC"/>
    <w:rsid w:val="00872F52"/>
    <w:rsid w:val="0087309D"/>
    <w:rsid w:val="00873885"/>
    <w:rsid w:val="00873DA0"/>
    <w:rsid w:val="00873FAC"/>
    <w:rsid w:val="00874188"/>
    <w:rsid w:val="008743B1"/>
    <w:rsid w:val="00874526"/>
    <w:rsid w:val="00874875"/>
    <w:rsid w:val="00875255"/>
    <w:rsid w:val="00875A06"/>
    <w:rsid w:val="00875E4B"/>
    <w:rsid w:val="00876306"/>
    <w:rsid w:val="0087638E"/>
    <w:rsid w:val="008764BC"/>
    <w:rsid w:val="008765FA"/>
    <w:rsid w:val="0087678E"/>
    <w:rsid w:val="00876957"/>
    <w:rsid w:val="00876A88"/>
    <w:rsid w:val="00876E25"/>
    <w:rsid w:val="00876F98"/>
    <w:rsid w:val="008770A0"/>
    <w:rsid w:val="008777F4"/>
    <w:rsid w:val="00877E43"/>
    <w:rsid w:val="00880151"/>
    <w:rsid w:val="00880CB4"/>
    <w:rsid w:val="00881032"/>
    <w:rsid w:val="00881ECA"/>
    <w:rsid w:val="00882CF6"/>
    <w:rsid w:val="00882E76"/>
    <w:rsid w:val="00883094"/>
    <w:rsid w:val="008830AA"/>
    <w:rsid w:val="008838E5"/>
    <w:rsid w:val="00883986"/>
    <w:rsid w:val="00883FDE"/>
    <w:rsid w:val="00884174"/>
    <w:rsid w:val="00884C17"/>
    <w:rsid w:val="00886637"/>
    <w:rsid w:val="00886847"/>
    <w:rsid w:val="00886D38"/>
    <w:rsid w:val="00887076"/>
    <w:rsid w:val="008871E4"/>
    <w:rsid w:val="008873C1"/>
    <w:rsid w:val="008879E9"/>
    <w:rsid w:val="0089029A"/>
    <w:rsid w:val="00891378"/>
    <w:rsid w:val="00891525"/>
    <w:rsid w:val="00891885"/>
    <w:rsid w:val="00891BE2"/>
    <w:rsid w:val="00891DAA"/>
    <w:rsid w:val="00893E34"/>
    <w:rsid w:val="00893FEE"/>
    <w:rsid w:val="00894121"/>
    <w:rsid w:val="0089447D"/>
    <w:rsid w:val="0089475D"/>
    <w:rsid w:val="00894951"/>
    <w:rsid w:val="00894A92"/>
    <w:rsid w:val="008951B3"/>
    <w:rsid w:val="008957E6"/>
    <w:rsid w:val="00896B5E"/>
    <w:rsid w:val="00897114"/>
    <w:rsid w:val="00897873"/>
    <w:rsid w:val="00897AA6"/>
    <w:rsid w:val="00897FE3"/>
    <w:rsid w:val="008A003C"/>
    <w:rsid w:val="008A0208"/>
    <w:rsid w:val="008A107F"/>
    <w:rsid w:val="008A112B"/>
    <w:rsid w:val="008A1D87"/>
    <w:rsid w:val="008A21B4"/>
    <w:rsid w:val="008A2821"/>
    <w:rsid w:val="008A2D03"/>
    <w:rsid w:val="008A3585"/>
    <w:rsid w:val="008A3E33"/>
    <w:rsid w:val="008A3F6A"/>
    <w:rsid w:val="008A4245"/>
    <w:rsid w:val="008A4739"/>
    <w:rsid w:val="008A487C"/>
    <w:rsid w:val="008A4A07"/>
    <w:rsid w:val="008A4F6F"/>
    <w:rsid w:val="008A5085"/>
    <w:rsid w:val="008A52F5"/>
    <w:rsid w:val="008A5648"/>
    <w:rsid w:val="008A6715"/>
    <w:rsid w:val="008A70F5"/>
    <w:rsid w:val="008A75AB"/>
    <w:rsid w:val="008A76F2"/>
    <w:rsid w:val="008A7742"/>
    <w:rsid w:val="008A79A2"/>
    <w:rsid w:val="008A7AD1"/>
    <w:rsid w:val="008B014E"/>
    <w:rsid w:val="008B034C"/>
    <w:rsid w:val="008B0F5B"/>
    <w:rsid w:val="008B1264"/>
    <w:rsid w:val="008B15FF"/>
    <w:rsid w:val="008B19CF"/>
    <w:rsid w:val="008B2084"/>
    <w:rsid w:val="008B2AEB"/>
    <w:rsid w:val="008B30A9"/>
    <w:rsid w:val="008B3BFC"/>
    <w:rsid w:val="008B40F9"/>
    <w:rsid w:val="008B4352"/>
    <w:rsid w:val="008B4528"/>
    <w:rsid w:val="008B45DC"/>
    <w:rsid w:val="008B4F82"/>
    <w:rsid w:val="008B51BE"/>
    <w:rsid w:val="008B52A8"/>
    <w:rsid w:val="008B54A0"/>
    <w:rsid w:val="008B5AA8"/>
    <w:rsid w:val="008B5C60"/>
    <w:rsid w:val="008B6726"/>
    <w:rsid w:val="008B682F"/>
    <w:rsid w:val="008B6AAC"/>
    <w:rsid w:val="008B76BB"/>
    <w:rsid w:val="008B77F4"/>
    <w:rsid w:val="008B7DBD"/>
    <w:rsid w:val="008C0127"/>
    <w:rsid w:val="008C012D"/>
    <w:rsid w:val="008C05C2"/>
    <w:rsid w:val="008C0861"/>
    <w:rsid w:val="008C0B68"/>
    <w:rsid w:val="008C1122"/>
    <w:rsid w:val="008C1D0B"/>
    <w:rsid w:val="008C1D2B"/>
    <w:rsid w:val="008C2048"/>
    <w:rsid w:val="008C209C"/>
    <w:rsid w:val="008C249C"/>
    <w:rsid w:val="008C2730"/>
    <w:rsid w:val="008C2F03"/>
    <w:rsid w:val="008C3613"/>
    <w:rsid w:val="008C3AC5"/>
    <w:rsid w:val="008C4A7F"/>
    <w:rsid w:val="008C4ACC"/>
    <w:rsid w:val="008C4CBD"/>
    <w:rsid w:val="008C52BD"/>
    <w:rsid w:val="008C588E"/>
    <w:rsid w:val="008C5B49"/>
    <w:rsid w:val="008C652B"/>
    <w:rsid w:val="008C69E1"/>
    <w:rsid w:val="008C6BE4"/>
    <w:rsid w:val="008C7BE9"/>
    <w:rsid w:val="008D00B1"/>
    <w:rsid w:val="008D0BBA"/>
    <w:rsid w:val="008D0F37"/>
    <w:rsid w:val="008D1D9E"/>
    <w:rsid w:val="008D1F20"/>
    <w:rsid w:val="008D2833"/>
    <w:rsid w:val="008D2866"/>
    <w:rsid w:val="008D2873"/>
    <w:rsid w:val="008D2A13"/>
    <w:rsid w:val="008D2AD1"/>
    <w:rsid w:val="008D310C"/>
    <w:rsid w:val="008D3812"/>
    <w:rsid w:val="008D3D9D"/>
    <w:rsid w:val="008D4188"/>
    <w:rsid w:val="008D4A4A"/>
    <w:rsid w:val="008D52A8"/>
    <w:rsid w:val="008D5619"/>
    <w:rsid w:val="008D58EB"/>
    <w:rsid w:val="008D5BB5"/>
    <w:rsid w:val="008D5C32"/>
    <w:rsid w:val="008D62F6"/>
    <w:rsid w:val="008D6371"/>
    <w:rsid w:val="008D64B1"/>
    <w:rsid w:val="008D66EB"/>
    <w:rsid w:val="008D6FC3"/>
    <w:rsid w:val="008D7127"/>
    <w:rsid w:val="008D7302"/>
    <w:rsid w:val="008D7481"/>
    <w:rsid w:val="008E0070"/>
    <w:rsid w:val="008E0D24"/>
    <w:rsid w:val="008E1619"/>
    <w:rsid w:val="008E18D0"/>
    <w:rsid w:val="008E1A47"/>
    <w:rsid w:val="008E1C49"/>
    <w:rsid w:val="008E1EBD"/>
    <w:rsid w:val="008E24D2"/>
    <w:rsid w:val="008E3A5A"/>
    <w:rsid w:val="008E3C06"/>
    <w:rsid w:val="008E4285"/>
    <w:rsid w:val="008E54FC"/>
    <w:rsid w:val="008E55F8"/>
    <w:rsid w:val="008E6510"/>
    <w:rsid w:val="008E7AEE"/>
    <w:rsid w:val="008F0069"/>
    <w:rsid w:val="008F0921"/>
    <w:rsid w:val="008F0990"/>
    <w:rsid w:val="008F1233"/>
    <w:rsid w:val="008F1F89"/>
    <w:rsid w:val="008F2BC9"/>
    <w:rsid w:val="008F336B"/>
    <w:rsid w:val="008F3409"/>
    <w:rsid w:val="008F35D0"/>
    <w:rsid w:val="008F3728"/>
    <w:rsid w:val="008F372F"/>
    <w:rsid w:val="008F423C"/>
    <w:rsid w:val="008F4A12"/>
    <w:rsid w:val="008F4B61"/>
    <w:rsid w:val="008F5659"/>
    <w:rsid w:val="008F5861"/>
    <w:rsid w:val="008F59D3"/>
    <w:rsid w:val="008F60C9"/>
    <w:rsid w:val="008F6E08"/>
    <w:rsid w:val="008F6E7C"/>
    <w:rsid w:val="008F6F2E"/>
    <w:rsid w:val="008F71C5"/>
    <w:rsid w:val="008F7888"/>
    <w:rsid w:val="008F7A7F"/>
    <w:rsid w:val="008F7EC3"/>
    <w:rsid w:val="008F7FA1"/>
    <w:rsid w:val="009000EC"/>
    <w:rsid w:val="009002F3"/>
    <w:rsid w:val="00900331"/>
    <w:rsid w:val="00901911"/>
    <w:rsid w:val="00901D4A"/>
    <w:rsid w:val="009024A7"/>
    <w:rsid w:val="00902B04"/>
    <w:rsid w:val="00902C43"/>
    <w:rsid w:val="00903105"/>
    <w:rsid w:val="0090319C"/>
    <w:rsid w:val="00904EDC"/>
    <w:rsid w:val="00904F79"/>
    <w:rsid w:val="00905B7C"/>
    <w:rsid w:val="00905E56"/>
    <w:rsid w:val="00906383"/>
    <w:rsid w:val="009063C6"/>
    <w:rsid w:val="0090696C"/>
    <w:rsid w:val="00906EA7"/>
    <w:rsid w:val="00907DBB"/>
    <w:rsid w:val="0091019C"/>
    <w:rsid w:val="0091070F"/>
    <w:rsid w:val="00910D1A"/>
    <w:rsid w:val="00910F40"/>
    <w:rsid w:val="00911928"/>
    <w:rsid w:val="00911FB0"/>
    <w:rsid w:val="009125E4"/>
    <w:rsid w:val="00912F86"/>
    <w:rsid w:val="00912FA1"/>
    <w:rsid w:val="00913201"/>
    <w:rsid w:val="009134BE"/>
    <w:rsid w:val="0091375F"/>
    <w:rsid w:val="00913F4C"/>
    <w:rsid w:val="009141D7"/>
    <w:rsid w:val="009141FC"/>
    <w:rsid w:val="0091457E"/>
    <w:rsid w:val="00914647"/>
    <w:rsid w:val="00914BE9"/>
    <w:rsid w:val="00915246"/>
    <w:rsid w:val="00915293"/>
    <w:rsid w:val="009152DD"/>
    <w:rsid w:val="00915466"/>
    <w:rsid w:val="00915D9F"/>
    <w:rsid w:val="00916313"/>
    <w:rsid w:val="009169C1"/>
    <w:rsid w:val="00916AC6"/>
    <w:rsid w:val="009175BB"/>
    <w:rsid w:val="009178C5"/>
    <w:rsid w:val="00917A31"/>
    <w:rsid w:val="00917BB8"/>
    <w:rsid w:val="00920050"/>
    <w:rsid w:val="00920BEA"/>
    <w:rsid w:val="00920C06"/>
    <w:rsid w:val="00920C65"/>
    <w:rsid w:val="009214F6"/>
    <w:rsid w:val="009217C7"/>
    <w:rsid w:val="00921913"/>
    <w:rsid w:val="00921B37"/>
    <w:rsid w:val="00921B6F"/>
    <w:rsid w:val="00921C07"/>
    <w:rsid w:val="00921FD2"/>
    <w:rsid w:val="00922199"/>
    <w:rsid w:val="0092228C"/>
    <w:rsid w:val="009222B8"/>
    <w:rsid w:val="0092242D"/>
    <w:rsid w:val="0092258C"/>
    <w:rsid w:val="00922C73"/>
    <w:rsid w:val="00922F9A"/>
    <w:rsid w:val="00924257"/>
    <w:rsid w:val="0092456E"/>
    <w:rsid w:val="00924931"/>
    <w:rsid w:val="009249C8"/>
    <w:rsid w:val="00924B7A"/>
    <w:rsid w:val="00924B8A"/>
    <w:rsid w:val="00924ED5"/>
    <w:rsid w:val="00925A20"/>
    <w:rsid w:val="00925E60"/>
    <w:rsid w:val="00925F7A"/>
    <w:rsid w:val="00926CEE"/>
    <w:rsid w:val="00926FD6"/>
    <w:rsid w:val="009277F4"/>
    <w:rsid w:val="009303C9"/>
    <w:rsid w:val="00930B09"/>
    <w:rsid w:val="00930C1B"/>
    <w:rsid w:val="00931778"/>
    <w:rsid w:val="00931B04"/>
    <w:rsid w:val="00932073"/>
    <w:rsid w:val="0093266C"/>
    <w:rsid w:val="00932DC0"/>
    <w:rsid w:val="009333CA"/>
    <w:rsid w:val="00933D47"/>
    <w:rsid w:val="00934063"/>
    <w:rsid w:val="00934821"/>
    <w:rsid w:val="00934ECE"/>
    <w:rsid w:val="00934F64"/>
    <w:rsid w:val="00935126"/>
    <w:rsid w:val="009361D3"/>
    <w:rsid w:val="009361FE"/>
    <w:rsid w:val="00936717"/>
    <w:rsid w:val="00937410"/>
    <w:rsid w:val="00937853"/>
    <w:rsid w:val="00937B74"/>
    <w:rsid w:val="00937C64"/>
    <w:rsid w:val="00937C99"/>
    <w:rsid w:val="009400F5"/>
    <w:rsid w:val="00941171"/>
    <w:rsid w:val="009418EB"/>
    <w:rsid w:val="00941FFE"/>
    <w:rsid w:val="00942661"/>
    <w:rsid w:val="009426CC"/>
    <w:rsid w:val="00942741"/>
    <w:rsid w:val="0094294A"/>
    <w:rsid w:val="00942DB4"/>
    <w:rsid w:val="00942E2F"/>
    <w:rsid w:val="009436AD"/>
    <w:rsid w:val="009436CC"/>
    <w:rsid w:val="00943EA1"/>
    <w:rsid w:val="00944144"/>
    <w:rsid w:val="00944379"/>
    <w:rsid w:val="009449E2"/>
    <w:rsid w:val="00944A12"/>
    <w:rsid w:val="0094507B"/>
    <w:rsid w:val="009452B4"/>
    <w:rsid w:val="00945EE2"/>
    <w:rsid w:val="00946077"/>
    <w:rsid w:val="00946201"/>
    <w:rsid w:val="0094650D"/>
    <w:rsid w:val="00950002"/>
    <w:rsid w:val="00952E38"/>
    <w:rsid w:val="009536D1"/>
    <w:rsid w:val="00955047"/>
    <w:rsid w:val="009557D0"/>
    <w:rsid w:val="0095591C"/>
    <w:rsid w:val="00955A23"/>
    <w:rsid w:val="0095675F"/>
    <w:rsid w:val="00956C5B"/>
    <w:rsid w:val="009571C9"/>
    <w:rsid w:val="00957863"/>
    <w:rsid w:val="00957F9F"/>
    <w:rsid w:val="00960189"/>
    <w:rsid w:val="0096057F"/>
    <w:rsid w:val="009608FB"/>
    <w:rsid w:val="00960BEF"/>
    <w:rsid w:val="00961090"/>
    <w:rsid w:val="0096117A"/>
    <w:rsid w:val="009611EB"/>
    <w:rsid w:val="00961922"/>
    <w:rsid w:val="00961971"/>
    <w:rsid w:val="00962140"/>
    <w:rsid w:val="00962242"/>
    <w:rsid w:val="0096255F"/>
    <w:rsid w:val="0096271D"/>
    <w:rsid w:val="009629DF"/>
    <w:rsid w:val="00962BE5"/>
    <w:rsid w:val="00963D79"/>
    <w:rsid w:val="0096465F"/>
    <w:rsid w:val="00964960"/>
    <w:rsid w:val="009659BE"/>
    <w:rsid w:val="00965F29"/>
    <w:rsid w:val="00966341"/>
    <w:rsid w:val="00966F77"/>
    <w:rsid w:val="0096715E"/>
    <w:rsid w:val="009675C7"/>
    <w:rsid w:val="009679E4"/>
    <w:rsid w:val="009679F6"/>
    <w:rsid w:val="00967AF9"/>
    <w:rsid w:val="00967B57"/>
    <w:rsid w:val="00967BD9"/>
    <w:rsid w:val="00967C95"/>
    <w:rsid w:val="00967D51"/>
    <w:rsid w:val="00970119"/>
    <w:rsid w:val="00970C1A"/>
    <w:rsid w:val="00970C62"/>
    <w:rsid w:val="00971656"/>
    <w:rsid w:val="0097165E"/>
    <w:rsid w:val="00971B90"/>
    <w:rsid w:val="00971E1B"/>
    <w:rsid w:val="009720A7"/>
    <w:rsid w:val="00972E49"/>
    <w:rsid w:val="00972EC3"/>
    <w:rsid w:val="00973D91"/>
    <w:rsid w:val="00974D8E"/>
    <w:rsid w:val="0097544D"/>
    <w:rsid w:val="00976070"/>
    <w:rsid w:val="00976656"/>
    <w:rsid w:val="00976700"/>
    <w:rsid w:val="00976CE2"/>
    <w:rsid w:val="009775BD"/>
    <w:rsid w:val="00977651"/>
    <w:rsid w:val="00977B4D"/>
    <w:rsid w:val="00977EE0"/>
    <w:rsid w:val="009801EB"/>
    <w:rsid w:val="0098050F"/>
    <w:rsid w:val="009805C8"/>
    <w:rsid w:val="009818F1"/>
    <w:rsid w:val="00981BF2"/>
    <w:rsid w:val="00982073"/>
    <w:rsid w:val="009821B9"/>
    <w:rsid w:val="00982A34"/>
    <w:rsid w:val="00983164"/>
    <w:rsid w:val="00983306"/>
    <w:rsid w:val="00983363"/>
    <w:rsid w:val="00983CBA"/>
    <w:rsid w:val="00983E07"/>
    <w:rsid w:val="00983E2C"/>
    <w:rsid w:val="00984A02"/>
    <w:rsid w:val="00985725"/>
    <w:rsid w:val="009860E8"/>
    <w:rsid w:val="00986500"/>
    <w:rsid w:val="009867DD"/>
    <w:rsid w:val="00986AD7"/>
    <w:rsid w:val="00987250"/>
    <w:rsid w:val="0098746C"/>
    <w:rsid w:val="009874DF"/>
    <w:rsid w:val="00987502"/>
    <w:rsid w:val="00987724"/>
    <w:rsid w:val="0098780A"/>
    <w:rsid w:val="009903EB"/>
    <w:rsid w:val="009906E7"/>
    <w:rsid w:val="00990933"/>
    <w:rsid w:val="009911DB"/>
    <w:rsid w:val="00991750"/>
    <w:rsid w:val="0099274F"/>
    <w:rsid w:val="00992C5F"/>
    <w:rsid w:val="00993E02"/>
    <w:rsid w:val="00993EAA"/>
    <w:rsid w:val="00994588"/>
    <w:rsid w:val="00994BDC"/>
    <w:rsid w:val="00995456"/>
    <w:rsid w:val="00995472"/>
    <w:rsid w:val="00995BCB"/>
    <w:rsid w:val="00996360"/>
    <w:rsid w:val="009965F8"/>
    <w:rsid w:val="00996E9F"/>
    <w:rsid w:val="00996FDD"/>
    <w:rsid w:val="00997047"/>
    <w:rsid w:val="00997232"/>
    <w:rsid w:val="0099740E"/>
    <w:rsid w:val="00997C7D"/>
    <w:rsid w:val="00997D45"/>
    <w:rsid w:val="00997F55"/>
    <w:rsid w:val="009A0219"/>
    <w:rsid w:val="009A0BAB"/>
    <w:rsid w:val="009A0D18"/>
    <w:rsid w:val="009A12DF"/>
    <w:rsid w:val="009A18A2"/>
    <w:rsid w:val="009A1A80"/>
    <w:rsid w:val="009A1B1E"/>
    <w:rsid w:val="009A1C17"/>
    <w:rsid w:val="009A221B"/>
    <w:rsid w:val="009A2269"/>
    <w:rsid w:val="009A280D"/>
    <w:rsid w:val="009A29A9"/>
    <w:rsid w:val="009A2FD2"/>
    <w:rsid w:val="009A3364"/>
    <w:rsid w:val="009A3582"/>
    <w:rsid w:val="009A372A"/>
    <w:rsid w:val="009A3886"/>
    <w:rsid w:val="009A3C55"/>
    <w:rsid w:val="009A3E03"/>
    <w:rsid w:val="009A40B3"/>
    <w:rsid w:val="009A40DB"/>
    <w:rsid w:val="009A44ED"/>
    <w:rsid w:val="009A457C"/>
    <w:rsid w:val="009A468D"/>
    <w:rsid w:val="009A49AF"/>
    <w:rsid w:val="009A4A0E"/>
    <w:rsid w:val="009A4F78"/>
    <w:rsid w:val="009A50A0"/>
    <w:rsid w:val="009A5596"/>
    <w:rsid w:val="009A59B5"/>
    <w:rsid w:val="009A5D35"/>
    <w:rsid w:val="009A6935"/>
    <w:rsid w:val="009A6E4D"/>
    <w:rsid w:val="009A7188"/>
    <w:rsid w:val="009A73E9"/>
    <w:rsid w:val="009B0199"/>
    <w:rsid w:val="009B0A72"/>
    <w:rsid w:val="009B139C"/>
    <w:rsid w:val="009B1520"/>
    <w:rsid w:val="009B18ED"/>
    <w:rsid w:val="009B1C70"/>
    <w:rsid w:val="009B26F5"/>
    <w:rsid w:val="009B287D"/>
    <w:rsid w:val="009B29D6"/>
    <w:rsid w:val="009B34D4"/>
    <w:rsid w:val="009B3546"/>
    <w:rsid w:val="009B3871"/>
    <w:rsid w:val="009B40FD"/>
    <w:rsid w:val="009B416C"/>
    <w:rsid w:val="009B4759"/>
    <w:rsid w:val="009B4A9D"/>
    <w:rsid w:val="009B4CDF"/>
    <w:rsid w:val="009B4D41"/>
    <w:rsid w:val="009B4D4E"/>
    <w:rsid w:val="009B4DBE"/>
    <w:rsid w:val="009B4E06"/>
    <w:rsid w:val="009B6210"/>
    <w:rsid w:val="009B7437"/>
    <w:rsid w:val="009B7DD3"/>
    <w:rsid w:val="009C002B"/>
    <w:rsid w:val="009C0486"/>
    <w:rsid w:val="009C188A"/>
    <w:rsid w:val="009C1E29"/>
    <w:rsid w:val="009C1FB8"/>
    <w:rsid w:val="009C1FB9"/>
    <w:rsid w:val="009C236B"/>
    <w:rsid w:val="009C2419"/>
    <w:rsid w:val="009C2B01"/>
    <w:rsid w:val="009C2BA5"/>
    <w:rsid w:val="009C2DDD"/>
    <w:rsid w:val="009C31AA"/>
    <w:rsid w:val="009C32EC"/>
    <w:rsid w:val="009C42D3"/>
    <w:rsid w:val="009C454D"/>
    <w:rsid w:val="009C4FEE"/>
    <w:rsid w:val="009C5460"/>
    <w:rsid w:val="009C5DBC"/>
    <w:rsid w:val="009C60D1"/>
    <w:rsid w:val="009C6DCA"/>
    <w:rsid w:val="009C6E53"/>
    <w:rsid w:val="009C7683"/>
    <w:rsid w:val="009C7844"/>
    <w:rsid w:val="009C78A0"/>
    <w:rsid w:val="009C79B2"/>
    <w:rsid w:val="009C7CEA"/>
    <w:rsid w:val="009D002B"/>
    <w:rsid w:val="009D0B8D"/>
    <w:rsid w:val="009D0C6E"/>
    <w:rsid w:val="009D14F2"/>
    <w:rsid w:val="009D21DC"/>
    <w:rsid w:val="009D265E"/>
    <w:rsid w:val="009D2E3E"/>
    <w:rsid w:val="009D2F87"/>
    <w:rsid w:val="009D30C5"/>
    <w:rsid w:val="009D3311"/>
    <w:rsid w:val="009D3A8A"/>
    <w:rsid w:val="009D3BEF"/>
    <w:rsid w:val="009D3D09"/>
    <w:rsid w:val="009D4573"/>
    <w:rsid w:val="009D4605"/>
    <w:rsid w:val="009D4DFB"/>
    <w:rsid w:val="009D4E8D"/>
    <w:rsid w:val="009D5C9E"/>
    <w:rsid w:val="009D60D8"/>
    <w:rsid w:val="009D674C"/>
    <w:rsid w:val="009D6F05"/>
    <w:rsid w:val="009D6FA2"/>
    <w:rsid w:val="009D7637"/>
    <w:rsid w:val="009D7AF0"/>
    <w:rsid w:val="009D7B07"/>
    <w:rsid w:val="009E0299"/>
    <w:rsid w:val="009E03CB"/>
    <w:rsid w:val="009E04FB"/>
    <w:rsid w:val="009E052D"/>
    <w:rsid w:val="009E1167"/>
    <w:rsid w:val="009E190B"/>
    <w:rsid w:val="009E24EA"/>
    <w:rsid w:val="009E2C6F"/>
    <w:rsid w:val="009E2EDB"/>
    <w:rsid w:val="009E3556"/>
    <w:rsid w:val="009E372A"/>
    <w:rsid w:val="009E3DFB"/>
    <w:rsid w:val="009E432C"/>
    <w:rsid w:val="009E4A77"/>
    <w:rsid w:val="009E4BC9"/>
    <w:rsid w:val="009E4D8A"/>
    <w:rsid w:val="009E5478"/>
    <w:rsid w:val="009E552F"/>
    <w:rsid w:val="009E5546"/>
    <w:rsid w:val="009E5598"/>
    <w:rsid w:val="009E5795"/>
    <w:rsid w:val="009E5FD9"/>
    <w:rsid w:val="009E6081"/>
    <w:rsid w:val="009E63D0"/>
    <w:rsid w:val="009E63DD"/>
    <w:rsid w:val="009E677A"/>
    <w:rsid w:val="009E6C26"/>
    <w:rsid w:val="009E6D42"/>
    <w:rsid w:val="009E7018"/>
    <w:rsid w:val="009E7100"/>
    <w:rsid w:val="009E751F"/>
    <w:rsid w:val="009E7B2D"/>
    <w:rsid w:val="009E7B65"/>
    <w:rsid w:val="009E7D13"/>
    <w:rsid w:val="009F0378"/>
    <w:rsid w:val="009F0BF1"/>
    <w:rsid w:val="009F0F35"/>
    <w:rsid w:val="009F16A7"/>
    <w:rsid w:val="009F1821"/>
    <w:rsid w:val="009F24C2"/>
    <w:rsid w:val="009F2566"/>
    <w:rsid w:val="009F272B"/>
    <w:rsid w:val="009F28D9"/>
    <w:rsid w:val="009F33CD"/>
    <w:rsid w:val="009F36BD"/>
    <w:rsid w:val="009F3B4C"/>
    <w:rsid w:val="009F3CFD"/>
    <w:rsid w:val="009F3F14"/>
    <w:rsid w:val="009F5389"/>
    <w:rsid w:val="009F596B"/>
    <w:rsid w:val="009F5EFE"/>
    <w:rsid w:val="009F61FE"/>
    <w:rsid w:val="009F656A"/>
    <w:rsid w:val="009F6823"/>
    <w:rsid w:val="009F6A1C"/>
    <w:rsid w:val="009F7140"/>
    <w:rsid w:val="009F7513"/>
    <w:rsid w:val="009F7B68"/>
    <w:rsid w:val="00A00720"/>
    <w:rsid w:val="00A00A6F"/>
    <w:rsid w:val="00A00B3B"/>
    <w:rsid w:val="00A00D91"/>
    <w:rsid w:val="00A01455"/>
    <w:rsid w:val="00A01532"/>
    <w:rsid w:val="00A019FC"/>
    <w:rsid w:val="00A021C9"/>
    <w:rsid w:val="00A037E3"/>
    <w:rsid w:val="00A03A47"/>
    <w:rsid w:val="00A04237"/>
    <w:rsid w:val="00A04AFC"/>
    <w:rsid w:val="00A05544"/>
    <w:rsid w:val="00A06009"/>
    <w:rsid w:val="00A06364"/>
    <w:rsid w:val="00A066FD"/>
    <w:rsid w:val="00A06A39"/>
    <w:rsid w:val="00A07085"/>
    <w:rsid w:val="00A07127"/>
    <w:rsid w:val="00A071B4"/>
    <w:rsid w:val="00A07219"/>
    <w:rsid w:val="00A07531"/>
    <w:rsid w:val="00A07735"/>
    <w:rsid w:val="00A07916"/>
    <w:rsid w:val="00A07A08"/>
    <w:rsid w:val="00A100EB"/>
    <w:rsid w:val="00A1016F"/>
    <w:rsid w:val="00A1024D"/>
    <w:rsid w:val="00A102D2"/>
    <w:rsid w:val="00A10B45"/>
    <w:rsid w:val="00A10B5F"/>
    <w:rsid w:val="00A1113D"/>
    <w:rsid w:val="00A12182"/>
    <w:rsid w:val="00A12678"/>
    <w:rsid w:val="00A12A43"/>
    <w:rsid w:val="00A12F8C"/>
    <w:rsid w:val="00A1354F"/>
    <w:rsid w:val="00A13DBA"/>
    <w:rsid w:val="00A1408C"/>
    <w:rsid w:val="00A1414C"/>
    <w:rsid w:val="00A1451B"/>
    <w:rsid w:val="00A14802"/>
    <w:rsid w:val="00A1484C"/>
    <w:rsid w:val="00A14D1B"/>
    <w:rsid w:val="00A14DF3"/>
    <w:rsid w:val="00A15407"/>
    <w:rsid w:val="00A15954"/>
    <w:rsid w:val="00A15A65"/>
    <w:rsid w:val="00A15BBD"/>
    <w:rsid w:val="00A15DE2"/>
    <w:rsid w:val="00A160D2"/>
    <w:rsid w:val="00A1610B"/>
    <w:rsid w:val="00A162FD"/>
    <w:rsid w:val="00A16894"/>
    <w:rsid w:val="00A16950"/>
    <w:rsid w:val="00A171E3"/>
    <w:rsid w:val="00A173EC"/>
    <w:rsid w:val="00A17D03"/>
    <w:rsid w:val="00A205F5"/>
    <w:rsid w:val="00A20F1F"/>
    <w:rsid w:val="00A21105"/>
    <w:rsid w:val="00A212E4"/>
    <w:rsid w:val="00A21AA3"/>
    <w:rsid w:val="00A21B25"/>
    <w:rsid w:val="00A21D03"/>
    <w:rsid w:val="00A21EAA"/>
    <w:rsid w:val="00A22738"/>
    <w:rsid w:val="00A2291A"/>
    <w:rsid w:val="00A22FC9"/>
    <w:rsid w:val="00A23B54"/>
    <w:rsid w:val="00A23C42"/>
    <w:rsid w:val="00A242B3"/>
    <w:rsid w:val="00A24EEB"/>
    <w:rsid w:val="00A25D4E"/>
    <w:rsid w:val="00A265D7"/>
    <w:rsid w:val="00A26A48"/>
    <w:rsid w:val="00A2731B"/>
    <w:rsid w:val="00A27411"/>
    <w:rsid w:val="00A27D68"/>
    <w:rsid w:val="00A27DC4"/>
    <w:rsid w:val="00A30808"/>
    <w:rsid w:val="00A31367"/>
    <w:rsid w:val="00A31471"/>
    <w:rsid w:val="00A31AD8"/>
    <w:rsid w:val="00A320D8"/>
    <w:rsid w:val="00A3265D"/>
    <w:rsid w:val="00A3286F"/>
    <w:rsid w:val="00A328ED"/>
    <w:rsid w:val="00A32FB6"/>
    <w:rsid w:val="00A3375E"/>
    <w:rsid w:val="00A33DF4"/>
    <w:rsid w:val="00A346CD"/>
    <w:rsid w:val="00A3486A"/>
    <w:rsid w:val="00A34A03"/>
    <w:rsid w:val="00A357A9"/>
    <w:rsid w:val="00A35822"/>
    <w:rsid w:val="00A35A7E"/>
    <w:rsid w:val="00A35BDF"/>
    <w:rsid w:val="00A35D7D"/>
    <w:rsid w:val="00A36CC8"/>
    <w:rsid w:val="00A379BD"/>
    <w:rsid w:val="00A379EE"/>
    <w:rsid w:val="00A37BC3"/>
    <w:rsid w:val="00A37E12"/>
    <w:rsid w:val="00A40CBC"/>
    <w:rsid w:val="00A40EAE"/>
    <w:rsid w:val="00A40FB2"/>
    <w:rsid w:val="00A41037"/>
    <w:rsid w:val="00A412C5"/>
    <w:rsid w:val="00A41710"/>
    <w:rsid w:val="00A42109"/>
    <w:rsid w:val="00A4222C"/>
    <w:rsid w:val="00A425F9"/>
    <w:rsid w:val="00A42BAC"/>
    <w:rsid w:val="00A42CD3"/>
    <w:rsid w:val="00A43084"/>
    <w:rsid w:val="00A433DB"/>
    <w:rsid w:val="00A434E4"/>
    <w:rsid w:val="00A435B3"/>
    <w:rsid w:val="00A439E1"/>
    <w:rsid w:val="00A43E0E"/>
    <w:rsid w:val="00A448EC"/>
    <w:rsid w:val="00A44AA7"/>
    <w:rsid w:val="00A453EB"/>
    <w:rsid w:val="00A45AB3"/>
    <w:rsid w:val="00A464B2"/>
    <w:rsid w:val="00A4654C"/>
    <w:rsid w:val="00A465F9"/>
    <w:rsid w:val="00A46D07"/>
    <w:rsid w:val="00A47550"/>
    <w:rsid w:val="00A47625"/>
    <w:rsid w:val="00A47B5F"/>
    <w:rsid w:val="00A50033"/>
    <w:rsid w:val="00A50B24"/>
    <w:rsid w:val="00A50D6D"/>
    <w:rsid w:val="00A51079"/>
    <w:rsid w:val="00A51120"/>
    <w:rsid w:val="00A51406"/>
    <w:rsid w:val="00A51725"/>
    <w:rsid w:val="00A51813"/>
    <w:rsid w:val="00A51EAA"/>
    <w:rsid w:val="00A51EC2"/>
    <w:rsid w:val="00A52985"/>
    <w:rsid w:val="00A53683"/>
    <w:rsid w:val="00A536DC"/>
    <w:rsid w:val="00A53DBD"/>
    <w:rsid w:val="00A53E1F"/>
    <w:rsid w:val="00A541A4"/>
    <w:rsid w:val="00A5439E"/>
    <w:rsid w:val="00A543A8"/>
    <w:rsid w:val="00A54720"/>
    <w:rsid w:val="00A54D1A"/>
    <w:rsid w:val="00A54EB4"/>
    <w:rsid w:val="00A54F35"/>
    <w:rsid w:val="00A550FD"/>
    <w:rsid w:val="00A5641E"/>
    <w:rsid w:val="00A60693"/>
    <w:rsid w:val="00A60A17"/>
    <w:rsid w:val="00A60E3B"/>
    <w:rsid w:val="00A61008"/>
    <w:rsid w:val="00A612C5"/>
    <w:rsid w:val="00A61DE4"/>
    <w:rsid w:val="00A61F50"/>
    <w:rsid w:val="00A625D5"/>
    <w:rsid w:val="00A62881"/>
    <w:rsid w:val="00A63107"/>
    <w:rsid w:val="00A635B1"/>
    <w:rsid w:val="00A63898"/>
    <w:rsid w:val="00A63B52"/>
    <w:rsid w:val="00A642F2"/>
    <w:rsid w:val="00A64CCB"/>
    <w:rsid w:val="00A6573E"/>
    <w:rsid w:val="00A657CC"/>
    <w:rsid w:val="00A65992"/>
    <w:rsid w:val="00A65AD5"/>
    <w:rsid w:val="00A65D5F"/>
    <w:rsid w:val="00A66040"/>
    <w:rsid w:val="00A6604A"/>
    <w:rsid w:val="00A660A7"/>
    <w:rsid w:val="00A661AF"/>
    <w:rsid w:val="00A667BB"/>
    <w:rsid w:val="00A67431"/>
    <w:rsid w:val="00A6745D"/>
    <w:rsid w:val="00A67CD6"/>
    <w:rsid w:val="00A67D21"/>
    <w:rsid w:val="00A7095E"/>
    <w:rsid w:val="00A709B9"/>
    <w:rsid w:val="00A721AD"/>
    <w:rsid w:val="00A725D0"/>
    <w:rsid w:val="00A72A45"/>
    <w:rsid w:val="00A72D24"/>
    <w:rsid w:val="00A72FEE"/>
    <w:rsid w:val="00A73350"/>
    <w:rsid w:val="00A738E3"/>
    <w:rsid w:val="00A73ED3"/>
    <w:rsid w:val="00A7424E"/>
    <w:rsid w:val="00A74ACE"/>
    <w:rsid w:val="00A74F42"/>
    <w:rsid w:val="00A763DD"/>
    <w:rsid w:val="00A765B8"/>
    <w:rsid w:val="00A768C5"/>
    <w:rsid w:val="00A76FB6"/>
    <w:rsid w:val="00A773A7"/>
    <w:rsid w:val="00A7779E"/>
    <w:rsid w:val="00A806C3"/>
    <w:rsid w:val="00A80DDA"/>
    <w:rsid w:val="00A814F3"/>
    <w:rsid w:val="00A814FE"/>
    <w:rsid w:val="00A815AB"/>
    <w:rsid w:val="00A82029"/>
    <w:rsid w:val="00A82033"/>
    <w:rsid w:val="00A82684"/>
    <w:rsid w:val="00A82A6E"/>
    <w:rsid w:val="00A82D6D"/>
    <w:rsid w:val="00A83156"/>
    <w:rsid w:val="00A83B3B"/>
    <w:rsid w:val="00A83DAA"/>
    <w:rsid w:val="00A85B1D"/>
    <w:rsid w:val="00A85C1F"/>
    <w:rsid w:val="00A86017"/>
    <w:rsid w:val="00A86631"/>
    <w:rsid w:val="00A87222"/>
    <w:rsid w:val="00A87301"/>
    <w:rsid w:val="00A87341"/>
    <w:rsid w:val="00A8743C"/>
    <w:rsid w:val="00A9055D"/>
    <w:rsid w:val="00A90766"/>
    <w:rsid w:val="00A90816"/>
    <w:rsid w:val="00A90EA8"/>
    <w:rsid w:val="00A91346"/>
    <w:rsid w:val="00A913B6"/>
    <w:rsid w:val="00A9183F"/>
    <w:rsid w:val="00A9252C"/>
    <w:rsid w:val="00A92901"/>
    <w:rsid w:val="00A92940"/>
    <w:rsid w:val="00A92A7A"/>
    <w:rsid w:val="00A92D91"/>
    <w:rsid w:val="00A93CBF"/>
    <w:rsid w:val="00A94149"/>
    <w:rsid w:val="00A945E4"/>
    <w:rsid w:val="00A94644"/>
    <w:rsid w:val="00A9576B"/>
    <w:rsid w:val="00A959D2"/>
    <w:rsid w:val="00A95BA0"/>
    <w:rsid w:val="00A960F4"/>
    <w:rsid w:val="00A9648F"/>
    <w:rsid w:val="00A96C4A"/>
    <w:rsid w:val="00A97195"/>
    <w:rsid w:val="00A97272"/>
    <w:rsid w:val="00A973CA"/>
    <w:rsid w:val="00A97522"/>
    <w:rsid w:val="00A977B5"/>
    <w:rsid w:val="00A97A90"/>
    <w:rsid w:val="00A97BF8"/>
    <w:rsid w:val="00A97DA5"/>
    <w:rsid w:val="00A97F29"/>
    <w:rsid w:val="00AA0161"/>
    <w:rsid w:val="00AA05EB"/>
    <w:rsid w:val="00AA0815"/>
    <w:rsid w:val="00AA08AF"/>
    <w:rsid w:val="00AA0D63"/>
    <w:rsid w:val="00AA1987"/>
    <w:rsid w:val="00AA1C17"/>
    <w:rsid w:val="00AA1D60"/>
    <w:rsid w:val="00AA1EE0"/>
    <w:rsid w:val="00AA22FC"/>
    <w:rsid w:val="00AA2550"/>
    <w:rsid w:val="00AA2D00"/>
    <w:rsid w:val="00AA3539"/>
    <w:rsid w:val="00AA38C8"/>
    <w:rsid w:val="00AA3B32"/>
    <w:rsid w:val="00AA3FF3"/>
    <w:rsid w:val="00AA40B5"/>
    <w:rsid w:val="00AA40F6"/>
    <w:rsid w:val="00AA41E3"/>
    <w:rsid w:val="00AA4272"/>
    <w:rsid w:val="00AA4803"/>
    <w:rsid w:val="00AA4874"/>
    <w:rsid w:val="00AA4956"/>
    <w:rsid w:val="00AA51F2"/>
    <w:rsid w:val="00AA53BC"/>
    <w:rsid w:val="00AA54F5"/>
    <w:rsid w:val="00AA5547"/>
    <w:rsid w:val="00AA56CE"/>
    <w:rsid w:val="00AA5D43"/>
    <w:rsid w:val="00AA6D78"/>
    <w:rsid w:val="00AA71BA"/>
    <w:rsid w:val="00AA7C2B"/>
    <w:rsid w:val="00AB0518"/>
    <w:rsid w:val="00AB060E"/>
    <w:rsid w:val="00AB0B59"/>
    <w:rsid w:val="00AB0EB1"/>
    <w:rsid w:val="00AB131B"/>
    <w:rsid w:val="00AB142B"/>
    <w:rsid w:val="00AB1AA3"/>
    <w:rsid w:val="00AB1D78"/>
    <w:rsid w:val="00AB220C"/>
    <w:rsid w:val="00AB2438"/>
    <w:rsid w:val="00AB26C4"/>
    <w:rsid w:val="00AB29AA"/>
    <w:rsid w:val="00AB2AAA"/>
    <w:rsid w:val="00AB2B24"/>
    <w:rsid w:val="00AB2C03"/>
    <w:rsid w:val="00AB33E4"/>
    <w:rsid w:val="00AB36AF"/>
    <w:rsid w:val="00AB3864"/>
    <w:rsid w:val="00AB3931"/>
    <w:rsid w:val="00AB3CB7"/>
    <w:rsid w:val="00AB4369"/>
    <w:rsid w:val="00AB47D9"/>
    <w:rsid w:val="00AB49F0"/>
    <w:rsid w:val="00AB4BBF"/>
    <w:rsid w:val="00AB4CAC"/>
    <w:rsid w:val="00AB5070"/>
    <w:rsid w:val="00AB587C"/>
    <w:rsid w:val="00AB6004"/>
    <w:rsid w:val="00AB626C"/>
    <w:rsid w:val="00AB63D4"/>
    <w:rsid w:val="00AB676F"/>
    <w:rsid w:val="00AB682B"/>
    <w:rsid w:val="00AB698D"/>
    <w:rsid w:val="00AB735A"/>
    <w:rsid w:val="00AB7BBF"/>
    <w:rsid w:val="00AB7DFF"/>
    <w:rsid w:val="00AC0011"/>
    <w:rsid w:val="00AC01D2"/>
    <w:rsid w:val="00AC03FF"/>
    <w:rsid w:val="00AC0AC3"/>
    <w:rsid w:val="00AC1915"/>
    <w:rsid w:val="00AC20E8"/>
    <w:rsid w:val="00AC2284"/>
    <w:rsid w:val="00AC246C"/>
    <w:rsid w:val="00AC2860"/>
    <w:rsid w:val="00AC29F8"/>
    <w:rsid w:val="00AC2ED9"/>
    <w:rsid w:val="00AC34F9"/>
    <w:rsid w:val="00AC37CA"/>
    <w:rsid w:val="00AC3AC9"/>
    <w:rsid w:val="00AC3D94"/>
    <w:rsid w:val="00AC3ECF"/>
    <w:rsid w:val="00AC43F0"/>
    <w:rsid w:val="00AC4591"/>
    <w:rsid w:val="00AC45C5"/>
    <w:rsid w:val="00AC46F6"/>
    <w:rsid w:val="00AC4EF3"/>
    <w:rsid w:val="00AC54E2"/>
    <w:rsid w:val="00AC5668"/>
    <w:rsid w:val="00AC5889"/>
    <w:rsid w:val="00AC59A9"/>
    <w:rsid w:val="00AC6055"/>
    <w:rsid w:val="00AC6C2F"/>
    <w:rsid w:val="00AC6D33"/>
    <w:rsid w:val="00AC7396"/>
    <w:rsid w:val="00AC7D08"/>
    <w:rsid w:val="00AC7EB6"/>
    <w:rsid w:val="00AD0121"/>
    <w:rsid w:val="00AD0A34"/>
    <w:rsid w:val="00AD0D60"/>
    <w:rsid w:val="00AD15D8"/>
    <w:rsid w:val="00AD19A0"/>
    <w:rsid w:val="00AD2B6E"/>
    <w:rsid w:val="00AD2C8F"/>
    <w:rsid w:val="00AD2EFE"/>
    <w:rsid w:val="00AD390B"/>
    <w:rsid w:val="00AD403D"/>
    <w:rsid w:val="00AD50EE"/>
    <w:rsid w:val="00AD563B"/>
    <w:rsid w:val="00AD59DE"/>
    <w:rsid w:val="00AD6713"/>
    <w:rsid w:val="00AD680F"/>
    <w:rsid w:val="00AD7106"/>
    <w:rsid w:val="00AD727F"/>
    <w:rsid w:val="00AD74C0"/>
    <w:rsid w:val="00AD7920"/>
    <w:rsid w:val="00AD79D9"/>
    <w:rsid w:val="00AD7F6A"/>
    <w:rsid w:val="00AE0208"/>
    <w:rsid w:val="00AE0585"/>
    <w:rsid w:val="00AE08F4"/>
    <w:rsid w:val="00AE0D8B"/>
    <w:rsid w:val="00AE19FB"/>
    <w:rsid w:val="00AE1D7F"/>
    <w:rsid w:val="00AE2016"/>
    <w:rsid w:val="00AE20CE"/>
    <w:rsid w:val="00AE274E"/>
    <w:rsid w:val="00AE283A"/>
    <w:rsid w:val="00AE2920"/>
    <w:rsid w:val="00AE2B48"/>
    <w:rsid w:val="00AE30B3"/>
    <w:rsid w:val="00AE31AF"/>
    <w:rsid w:val="00AE507C"/>
    <w:rsid w:val="00AE52FD"/>
    <w:rsid w:val="00AE555E"/>
    <w:rsid w:val="00AE6154"/>
    <w:rsid w:val="00AE61B3"/>
    <w:rsid w:val="00AE6878"/>
    <w:rsid w:val="00AE6EEE"/>
    <w:rsid w:val="00AE796A"/>
    <w:rsid w:val="00AF041A"/>
    <w:rsid w:val="00AF0B1A"/>
    <w:rsid w:val="00AF1079"/>
    <w:rsid w:val="00AF1231"/>
    <w:rsid w:val="00AF129C"/>
    <w:rsid w:val="00AF2321"/>
    <w:rsid w:val="00AF26F0"/>
    <w:rsid w:val="00AF2AC7"/>
    <w:rsid w:val="00AF2EF5"/>
    <w:rsid w:val="00AF3888"/>
    <w:rsid w:val="00AF393E"/>
    <w:rsid w:val="00AF4095"/>
    <w:rsid w:val="00AF422D"/>
    <w:rsid w:val="00AF4850"/>
    <w:rsid w:val="00AF4EFD"/>
    <w:rsid w:val="00AF5F6A"/>
    <w:rsid w:val="00AF63DC"/>
    <w:rsid w:val="00AF6410"/>
    <w:rsid w:val="00AF66A3"/>
    <w:rsid w:val="00AF6735"/>
    <w:rsid w:val="00AF7380"/>
    <w:rsid w:val="00AF77DB"/>
    <w:rsid w:val="00AF7A02"/>
    <w:rsid w:val="00B006E9"/>
    <w:rsid w:val="00B0094F"/>
    <w:rsid w:val="00B0164D"/>
    <w:rsid w:val="00B02070"/>
    <w:rsid w:val="00B0268E"/>
    <w:rsid w:val="00B0276C"/>
    <w:rsid w:val="00B0298D"/>
    <w:rsid w:val="00B02E96"/>
    <w:rsid w:val="00B030C4"/>
    <w:rsid w:val="00B030F0"/>
    <w:rsid w:val="00B03475"/>
    <w:rsid w:val="00B038E7"/>
    <w:rsid w:val="00B03B08"/>
    <w:rsid w:val="00B0432A"/>
    <w:rsid w:val="00B04CA0"/>
    <w:rsid w:val="00B04D17"/>
    <w:rsid w:val="00B04E92"/>
    <w:rsid w:val="00B04F7B"/>
    <w:rsid w:val="00B05483"/>
    <w:rsid w:val="00B0557B"/>
    <w:rsid w:val="00B058A9"/>
    <w:rsid w:val="00B05D65"/>
    <w:rsid w:val="00B05ED3"/>
    <w:rsid w:val="00B05F4E"/>
    <w:rsid w:val="00B06738"/>
    <w:rsid w:val="00B0673A"/>
    <w:rsid w:val="00B068D7"/>
    <w:rsid w:val="00B06C8D"/>
    <w:rsid w:val="00B07138"/>
    <w:rsid w:val="00B07711"/>
    <w:rsid w:val="00B11355"/>
    <w:rsid w:val="00B1154E"/>
    <w:rsid w:val="00B120C5"/>
    <w:rsid w:val="00B12C5B"/>
    <w:rsid w:val="00B131AD"/>
    <w:rsid w:val="00B13440"/>
    <w:rsid w:val="00B1400A"/>
    <w:rsid w:val="00B1406D"/>
    <w:rsid w:val="00B14432"/>
    <w:rsid w:val="00B14580"/>
    <w:rsid w:val="00B149CC"/>
    <w:rsid w:val="00B155F5"/>
    <w:rsid w:val="00B15960"/>
    <w:rsid w:val="00B15DAD"/>
    <w:rsid w:val="00B15F34"/>
    <w:rsid w:val="00B15FA3"/>
    <w:rsid w:val="00B1631C"/>
    <w:rsid w:val="00B168F9"/>
    <w:rsid w:val="00B16BF5"/>
    <w:rsid w:val="00B17564"/>
    <w:rsid w:val="00B17BE4"/>
    <w:rsid w:val="00B17C7D"/>
    <w:rsid w:val="00B17F1F"/>
    <w:rsid w:val="00B20123"/>
    <w:rsid w:val="00B20332"/>
    <w:rsid w:val="00B20CD5"/>
    <w:rsid w:val="00B20F11"/>
    <w:rsid w:val="00B20FD5"/>
    <w:rsid w:val="00B21169"/>
    <w:rsid w:val="00B2143B"/>
    <w:rsid w:val="00B215B5"/>
    <w:rsid w:val="00B217AD"/>
    <w:rsid w:val="00B22A6B"/>
    <w:rsid w:val="00B22A75"/>
    <w:rsid w:val="00B230BA"/>
    <w:rsid w:val="00B23D77"/>
    <w:rsid w:val="00B2402B"/>
    <w:rsid w:val="00B24496"/>
    <w:rsid w:val="00B2468F"/>
    <w:rsid w:val="00B24700"/>
    <w:rsid w:val="00B24CB2"/>
    <w:rsid w:val="00B24D3F"/>
    <w:rsid w:val="00B25090"/>
    <w:rsid w:val="00B250D9"/>
    <w:rsid w:val="00B25301"/>
    <w:rsid w:val="00B2550F"/>
    <w:rsid w:val="00B257A0"/>
    <w:rsid w:val="00B25918"/>
    <w:rsid w:val="00B25991"/>
    <w:rsid w:val="00B26969"/>
    <w:rsid w:val="00B2716D"/>
    <w:rsid w:val="00B27327"/>
    <w:rsid w:val="00B27640"/>
    <w:rsid w:val="00B27846"/>
    <w:rsid w:val="00B27A67"/>
    <w:rsid w:val="00B27EEA"/>
    <w:rsid w:val="00B30148"/>
    <w:rsid w:val="00B30D61"/>
    <w:rsid w:val="00B31AFB"/>
    <w:rsid w:val="00B320B6"/>
    <w:rsid w:val="00B32434"/>
    <w:rsid w:val="00B32459"/>
    <w:rsid w:val="00B324EA"/>
    <w:rsid w:val="00B33875"/>
    <w:rsid w:val="00B33883"/>
    <w:rsid w:val="00B33A7F"/>
    <w:rsid w:val="00B33AF0"/>
    <w:rsid w:val="00B33C41"/>
    <w:rsid w:val="00B33C46"/>
    <w:rsid w:val="00B344B9"/>
    <w:rsid w:val="00B34A24"/>
    <w:rsid w:val="00B35545"/>
    <w:rsid w:val="00B3561C"/>
    <w:rsid w:val="00B35750"/>
    <w:rsid w:val="00B35EFB"/>
    <w:rsid w:val="00B3640A"/>
    <w:rsid w:val="00B3651F"/>
    <w:rsid w:val="00B36AEE"/>
    <w:rsid w:val="00B36C77"/>
    <w:rsid w:val="00B371E1"/>
    <w:rsid w:val="00B376AD"/>
    <w:rsid w:val="00B378DF"/>
    <w:rsid w:val="00B37AA1"/>
    <w:rsid w:val="00B37FB6"/>
    <w:rsid w:val="00B40A1F"/>
    <w:rsid w:val="00B416EE"/>
    <w:rsid w:val="00B418DA"/>
    <w:rsid w:val="00B41CCA"/>
    <w:rsid w:val="00B41E7C"/>
    <w:rsid w:val="00B42012"/>
    <w:rsid w:val="00B42942"/>
    <w:rsid w:val="00B42B38"/>
    <w:rsid w:val="00B42FAF"/>
    <w:rsid w:val="00B438EB"/>
    <w:rsid w:val="00B4508C"/>
    <w:rsid w:val="00B453B6"/>
    <w:rsid w:val="00B45827"/>
    <w:rsid w:val="00B45943"/>
    <w:rsid w:val="00B46B18"/>
    <w:rsid w:val="00B473D7"/>
    <w:rsid w:val="00B475CD"/>
    <w:rsid w:val="00B476C1"/>
    <w:rsid w:val="00B4781D"/>
    <w:rsid w:val="00B47CA9"/>
    <w:rsid w:val="00B47FEF"/>
    <w:rsid w:val="00B509C5"/>
    <w:rsid w:val="00B50EDD"/>
    <w:rsid w:val="00B513B9"/>
    <w:rsid w:val="00B513D9"/>
    <w:rsid w:val="00B51FA9"/>
    <w:rsid w:val="00B5291C"/>
    <w:rsid w:val="00B52D76"/>
    <w:rsid w:val="00B5330A"/>
    <w:rsid w:val="00B5331C"/>
    <w:rsid w:val="00B53792"/>
    <w:rsid w:val="00B53C91"/>
    <w:rsid w:val="00B53CDD"/>
    <w:rsid w:val="00B53DF1"/>
    <w:rsid w:val="00B5406E"/>
    <w:rsid w:val="00B543DB"/>
    <w:rsid w:val="00B54A34"/>
    <w:rsid w:val="00B54DD6"/>
    <w:rsid w:val="00B550E4"/>
    <w:rsid w:val="00B5579A"/>
    <w:rsid w:val="00B5579F"/>
    <w:rsid w:val="00B55ACD"/>
    <w:rsid w:val="00B55DCA"/>
    <w:rsid w:val="00B567C7"/>
    <w:rsid w:val="00B56837"/>
    <w:rsid w:val="00B56E3A"/>
    <w:rsid w:val="00B57135"/>
    <w:rsid w:val="00B5756A"/>
    <w:rsid w:val="00B57592"/>
    <w:rsid w:val="00B57752"/>
    <w:rsid w:val="00B6011F"/>
    <w:rsid w:val="00B60258"/>
    <w:rsid w:val="00B60350"/>
    <w:rsid w:val="00B6037B"/>
    <w:rsid w:val="00B60559"/>
    <w:rsid w:val="00B609D2"/>
    <w:rsid w:val="00B60C92"/>
    <w:rsid w:val="00B60E8A"/>
    <w:rsid w:val="00B61477"/>
    <w:rsid w:val="00B61482"/>
    <w:rsid w:val="00B61798"/>
    <w:rsid w:val="00B61945"/>
    <w:rsid w:val="00B6198A"/>
    <w:rsid w:val="00B61BFE"/>
    <w:rsid w:val="00B620DF"/>
    <w:rsid w:val="00B62510"/>
    <w:rsid w:val="00B62F97"/>
    <w:rsid w:val="00B63229"/>
    <w:rsid w:val="00B6342F"/>
    <w:rsid w:val="00B6369F"/>
    <w:rsid w:val="00B6382C"/>
    <w:rsid w:val="00B63E15"/>
    <w:rsid w:val="00B64623"/>
    <w:rsid w:val="00B65106"/>
    <w:rsid w:val="00B6512B"/>
    <w:rsid w:val="00B651ED"/>
    <w:rsid w:val="00B65346"/>
    <w:rsid w:val="00B6537A"/>
    <w:rsid w:val="00B65A46"/>
    <w:rsid w:val="00B65D7E"/>
    <w:rsid w:val="00B660F0"/>
    <w:rsid w:val="00B6622E"/>
    <w:rsid w:val="00B6630C"/>
    <w:rsid w:val="00B66588"/>
    <w:rsid w:val="00B6680A"/>
    <w:rsid w:val="00B66937"/>
    <w:rsid w:val="00B672E7"/>
    <w:rsid w:val="00B673E3"/>
    <w:rsid w:val="00B673FF"/>
    <w:rsid w:val="00B67B6E"/>
    <w:rsid w:val="00B7060A"/>
    <w:rsid w:val="00B70828"/>
    <w:rsid w:val="00B70A27"/>
    <w:rsid w:val="00B70BB1"/>
    <w:rsid w:val="00B710B3"/>
    <w:rsid w:val="00B7159A"/>
    <w:rsid w:val="00B71663"/>
    <w:rsid w:val="00B71AC7"/>
    <w:rsid w:val="00B71C08"/>
    <w:rsid w:val="00B72185"/>
    <w:rsid w:val="00B7286E"/>
    <w:rsid w:val="00B72E15"/>
    <w:rsid w:val="00B735B8"/>
    <w:rsid w:val="00B737DD"/>
    <w:rsid w:val="00B7391B"/>
    <w:rsid w:val="00B74130"/>
    <w:rsid w:val="00B74525"/>
    <w:rsid w:val="00B7475A"/>
    <w:rsid w:val="00B75026"/>
    <w:rsid w:val="00B75B7F"/>
    <w:rsid w:val="00B75BD4"/>
    <w:rsid w:val="00B75EA0"/>
    <w:rsid w:val="00B7603D"/>
    <w:rsid w:val="00B76616"/>
    <w:rsid w:val="00B76B88"/>
    <w:rsid w:val="00B8046C"/>
    <w:rsid w:val="00B80A61"/>
    <w:rsid w:val="00B8115B"/>
    <w:rsid w:val="00B8168A"/>
    <w:rsid w:val="00B81717"/>
    <w:rsid w:val="00B81797"/>
    <w:rsid w:val="00B819BE"/>
    <w:rsid w:val="00B81E7A"/>
    <w:rsid w:val="00B823DE"/>
    <w:rsid w:val="00B82D18"/>
    <w:rsid w:val="00B832EB"/>
    <w:rsid w:val="00B8356A"/>
    <w:rsid w:val="00B839BF"/>
    <w:rsid w:val="00B8420A"/>
    <w:rsid w:val="00B84491"/>
    <w:rsid w:val="00B84C60"/>
    <w:rsid w:val="00B84D45"/>
    <w:rsid w:val="00B84D98"/>
    <w:rsid w:val="00B84E95"/>
    <w:rsid w:val="00B84ECE"/>
    <w:rsid w:val="00B850B3"/>
    <w:rsid w:val="00B85395"/>
    <w:rsid w:val="00B854E8"/>
    <w:rsid w:val="00B8585A"/>
    <w:rsid w:val="00B858E1"/>
    <w:rsid w:val="00B86634"/>
    <w:rsid w:val="00B873FB"/>
    <w:rsid w:val="00B87479"/>
    <w:rsid w:val="00B8790C"/>
    <w:rsid w:val="00B87C01"/>
    <w:rsid w:val="00B90256"/>
    <w:rsid w:val="00B90608"/>
    <w:rsid w:val="00B9081A"/>
    <w:rsid w:val="00B90AE5"/>
    <w:rsid w:val="00B9147C"/>
    <w:rsid w:val="00B915DE"/>
    <w:rsid w:val="00B91645"/>
    <w:rsid w:val="00B919CC"/>
    <w:rsid w:val="00B91D50"/>
    <w:rsid w:val="00B91F29"/>
    <w:rsid w:val="00B921E8"/>
    <w:rsid w:val="00B936FA"/>
    <w:rsid w:val="00B93B7C"/>
    <w:rsid w:val="00B93C1D"/>
    <w:rsid w:val="00B9409B"/>
    <w:rsid w:val="00B940FF"/>
    <w:rsid w:val="00B948D7"/>
    <w:rsid w:val="00B94A10"/>
    <w:rsid w:val="00B94A7F"/>
    <w:rsid w:val="00B94B41"/>
    <w:rsid w:val="00B94C0A"/>
    <w:rsid w:val="00B96259"/>
    <w:rsid w:val="00B9627A"/>
    <w:rsid w:val="00B967D9"/>
    <w:rsid w:val="00B968A2"/>
    <w:rsid w:val="00B96CE4"/>
    <w:rsid w:val="00B96F02"/>
    <w:rsid w:val="00BA028F"/>
    <w:rsid w:val="00BA02CD"/>
    <w:rsid w:val="00BA040C"/>
    <w:rsid w:val="00BA0CB5"/>
    <w:rsid w:val="00BA111D"/>
    <w:rsid w:val="00BA13C5"/>
    <w:rsid w:val="00BA147D"/>
    <w:rsid w:val="00BA1679"/>
    <w:rsid w:val="00BA19FC"/>
    <w:rsid w:val="00BA1DCC"/>
    <w:rsid w:val="00BA1FDC"/>
    <w:rsid w:val="00BA2940"/>
    <w:rsid w:val="00BA29CB"/>
    <w:rsid w:val="00BA2BC8"/>
    <w:rsid w:val="00BA2F5D"/>
    <w:rsid w:val="00BA2FAF"/>
    <w:rsid w:val="00BA32EA"/>
    <w:rsid w:val="00BA34A5"/>
    <w:rsid w:val="00BA37DB"/>
    <w:rsid w:val="00BA3CA4"/>
    <w:rsid w:val="00BA3D96"/>
    <w:rsid w:val="00BA3EA6"/>
    <w:rsid w:val="00BA4588"/>
    <w:rsid w:val="00BA4618"/>
    <w:rsid w:val="00BA4A9C"/>
    <w:rsid w:val="00BA626F"/>
    <w:rsid w:val="00BA6824"/>
    <w:rsid w:val="00BA6906"/>
    <w:rsid w:val="00BA6909"/>
    <w:rsid w:val="00BA7A5D"/>
    <w:rsid w:val="00BB01AC"/>
    <w:rsid w:val="00BB0269"/>
    <w:rsid w:val="00BB0A3C"/>
    <w:rsid w:val="00BB0B43"/>
    <w:rsid w:val="00BB0BE8"/>
    <w:rsid w:val="00BB15C1"/>
    <w:rsid w:val="00BB1F2B"/>
    <w:rsid w:val="00BB2614"/>
    <w:rsid w:val="00BB3243"/>
    <w:rsid w:val="00BB3454"/>
    <w:rsid w:val="00BB3899"/>
    <w:rsid w:val="00BB3CE9"/>
    <w:rsid w:val="00BB3E63"/>
    <w:rsid w:val="00BB3FBB"/>
    <w:rsid w:val="00BB45DE"/>
    <w:rsid w:val="00BB49FD"/>
    <w:rsid w:val="00BB564F"/>
    <w:rsid w:val="00BB5E10"/>
    <w:rsid w:val="00BB6A33"/>
    <w:rsid w:val="00BB7655"/>
    <w:rsid w:val="00BB7905"/>
    <w:rsid w:val="00BB7BD0"/>
    <w:rsid w:val="00BC01C6"/>
    <w:rsid w:val="00BC075B"/>
    <w:rsid w:val="00BC0A89"/>
    <w:rsid w:val="00BC1171"/>
    <w:rsid w:val="00BC1194"/>
    <w:rsid w:val="00BC1369"/>
    <w:rsid w:val="00BC1598"/>
    <w:rsid w:val="00BC1691"/>
    <w:rsid w:val="00BC17D4"/>
    <w:rsid w:val="00BC1AC6"/>
    <w:rsid w:val="00BC25CA"/>
    <w:rsid w:val="00BC28F3"/>
    <w:rsid w:val="00BC2A91"/>
    <w:rsid w:val="00BC2AE9"/>
    <w:rsid w:val="00BC3C8F"/>
    <w:rsid w:val="00BC408E"/>
    <w:rsid w:val="00BC42D9"/>
    <w:rsid w:val="00BC45E7"/>
    <w:rsid w:val="00BC4AC5"/>
    <w:rsid w:val="00BC4FB9"/>
    <w:rsid w:val="00BC5197"/>
    <w:rsid w:val="00BC52BC"/>
    <w:rsid w:val="00BC54D8"/>
    <w:rsid w:val="00BC5C09"/>
    <w:rsid w:val="00BC6557"/>
    <w:rsid w:val="00BC692E"/>
    <w:rsid w:val="00BC7059"/>
    <w:rsid w:val="00BC76C4"/>
    <w:rsid w:val="00BC7848"/>
    <w:rsid w:val="00BC7AE3"/>
    <w:rsid w:val="00BC7FCC"/>
    <w:rsid w:val="00BD019D"/>
    <w:rsid w:val="00BD02D9"/>
    <w:rsid w:val="00BD0476"/>
    <w:rsid w:val="00BD053E"/>
    <w:rsid w:val="00BD0747"/>
    <w:rsid w:val="00BD07EA"/>
    <w:rsid w:val="00BD0AE5"/>
    <w:rsid w:val="00BD0B20"/>
    <w:rsid w:val="00BD0CA8"/>
    <w:rsid w:val="00BD0EEB"/>
    <w:rsid w:val="00BD18AA"/>
    <w:rsid w:val="00BD1AA5"/>
    <w:rsid w:val="00BD1C88"/>
    <w:rsid w:val="00BD2245"/>
    <w:rsid w:val="00BD28D3"/>
    <w:rsid w:val="00BD2D39"/>
    <w:rsid w:val="00BD2E6C"/>
    <w:rsid w:val="00BD312F"/>
    <w:rsid w:val="00BD3156"/>
    <w:rsid w:val="00BD3456"/>
    <w:rsid w:val="00BD37D2"/>
    <w:rsid w:val="00BD39C9"/>
    <w:rsid w:val="00BD3DCD"/>
    <w:rsid w:val="00BD3FBB"/>
    <w:rsid w:val="00BD461A"/>
    <w:rsid w:val="00BD48D4"/>
    <w:rsid w:val="00BD4BC2"/>
    <w:rsid w:val="00BD4BFD"/>
    <w:rsid w:val="00BD5122"/>
    <w:rsid w:val="00BD549E"/>
    <w:rsid w:val="00BD5B2B"/>
    <w:rsid w:val="00BD6991"/>
    <w:rsid w:val="00BD7CA8"/>
    <w:rsid w:val="00BE007E"/>
    <w:rsid w:val="00BE0317"/>
    <w:rsid w:val="00BE0C61"/>
    <w:rsid w:val="00BE0E64"/>
    <w:rsid w:val="00BE1023"/>
    <w:rsid w:val="00BE1565"/>
    <w:rsid w:val="00BE1848"/>
    <w:rsid w:val="00BE2099"/>
    <w:rsid w:val="00BE209B"/>
    <w:rsid w:val="00BE22E1"/>
    <w:rsid w:val="00BE2465"/>
    <w:rsid w:val="00BE2FDD"/>
    <w:rsid w:val="00BE3B42"/>
    <w:rsid w:val="00BE3D9A"/>
    <w:rsid w:val="00BE4017"/>
    <w:rsid w:val="00BE40F9"/>
    <w:rsid w:val="00BE449D"/>
    <w:rsid w:val="00BE46C0"/>
    <w:rsid w:val="00BE4B1F"/>
    <w:rsid w:val="00BE51DA"/>
    <w:rsid w:val="00BE5918"/>
    <w:rsid w:val="00BE64BC"/>
    <w:rsid w:val="00BE6D29"/>
    <w:rsid w:val="00BE7159"/>
    <w:rsid w:val="00BE7E52"/>
    <w:rsid w:val="00BF0175"/>
    <w:rsid w:val="00BF09E0"/>
    <w:rsid w:val="00BF0DAD"/>
    <w:rsid w:val="00BF193F"/>
    <w:rsid w:val="00BF1B5E"/>
    <w:rsid w:val="00BF25CB"/>
    <w:rsid w:val="00BF2D07"/>
    <w:rsid w:val="00BF32F6"/>
    <w:rsid w:val="00BF34FF"/>
    <w:rsid w:val="00BF4088"/>
    <w:rsid w:val="00BF484D"/>
    <w:rsid w:val="00BF544F"/>
    <w:rsid w:val="00BF59D6"/>
    <w:rsid w:val="00BF5A26"/>
    <w:rsid w:val="00BF5C3C"/>
    <w:rsid w:val="00BF5C4D"/>
    <w:rsid w:val="00BF65C3"/>
    <w:rsid w:val="00BF724E"/>
    <w:rsid w:val="00BF72EF"/>
    <w:rsid w:val="00BF7FEB"/>
    <w:rsid w:val="00C00661"/>
    <w:rsid w:val="00C00E9C"/>
    <w:rsid w:val="00C01BBB"/>
    <w:rsid w:val="00C02009"/>
    <w:rsid w:val="00C0247F"/>
    <w:rsid w:val="00C02D5F"/>
    <w:rsid w:val="00C02FF5"/>
    <w:rsid w:val="00C0337A"/>
    <w:rsid w:val="00C03970"/>
    <w:rsid w:val="00C03A30"/>
    <w:rsid w:val="00C03CA3"/>
    <w:rsid w:val="00C0442A"/>
    <w:rsid w:val="00C04813"/>
    <w:rsid w:val="00C04C97"/>
    <w:rsid w:val="00C0522B"/>
    <w:rsid w:val="00C05278"/>
    <w:rsid w:val="00C0539A"/>
    <w:rsid w:val="00C053CC"/>
    <w:rsid w:val="00C053DE"/>
    <w:rsid w:val="00C05618"/>
    <w:rsid w:val="00C05815"/>
    <w:rsid w:val="00C05DFA"/>
    <w:rsid w:val="00C06267"/>
    <w:rsid w:val="00C0670D"/>
    <w:rsid w:val="00C06E5B"/>
    <w:rsid w:val="00C07324"/>
    <w:rsid w:val="00C073C4"/>
    <w:rsid w:val="00C0775F"/>
    <w:rsid w:val="00C07809"/>
    <w:rsid w:val="00C07975"/>
    <w:rsid w:val="00C07C39"/>
    <w:rsid w:val="00C1021A"/>
    <w:rsid w:val="00C1041E"/>
    <w:rsid w:val="00C10AE5"/>
    <w:rsid w:val="00C10B0A"/>
    <w:rsid w:val="00C111E1"/>
    <w:rsid w:val="00C114A5"/>
    <w:rsid w:val="00C114E4"/>
    <w:rsid w:val="00C12F68"/>
    <w:rsid w:val="00C1384B"/>
    <w:rsid w:val="00C13ED0"/>
    <w:rsid w:val="00C14372"/>
    <w:rsid w:val="00C1464D"/>
    <w:rsid w:val="00C151E3"/>
    <w:rsid w:val="00C15352"/>
    <w:rsid w:val="00C15564"/>
    <w:rsid w:val="00C15839"/>
    <w:rsid w:val="00C15ED5"/>
    <w:rsid w:val="00C161FB"/>
    <w:rsid w:val="00C162BF"/>
    <w:rsid w:val="00C1694E"/>
    <w:rsid w:val="00C16AFA"/>
    <w:rsid w:val="00C17094"/>
    <w:rsid w:val="00C171AC"/>
    <w:rsid w:val="00C177A2"/>
    <w:rsid w:val="00C17A7C"/>
    <w:rsid w:val="00C17BA9"/>
    <w:rsid w:val="00C17C69"/>
    <w:rsid w:val="00C17CFF"/>
    <w:rsid w:val="00C2075E"/>
    <w:rsid w:val="00C21166"/>
    <w:rsid w:val="00C21871"/>
    <w:rsid w:val="00C2198E"/>
    <w:rsid w:val="00C220FF"/>
    <w:rsid w:val="00C22E2E"/>
    <w:rsid w:val="00C22EB4"/>
    <w:rsid w:val="00C23302"/>
    <w:rsid w:val="00C234CB"/>
    <w:rsid w:val="00C2366F"/>
    <w:rsid w:val="00C2370C"/>
    <w:rsid w:val="00C2379B"/>
    <w:rsid w:val="00C2443A"/>
    <w:rsid w:val="00C244C7"/>
    <w:rsid w:val="00C244D3"/>
    <w:rsid w:val="00C250C0"/>
    <w:rsid w:val="00C25881"/>
    <w:rsid w:val="00C259E0"/>
    <w:rsid w:val="00C25DD5"/>
    <w:rsid w:val="00C26D4E"/>
    <w:rsid w:val="00C26E73"/>
    <w:rsid w:val="00C26E84"/>
    <w:rsid w:val="00C26F62"/>
    <w:rsid w:val="00C2738D"/>
    <w:rsid w:val="00C275F4"/>
    <w:rsid w:val="00C27729"/>
    <w:rsid w:val="00C27796"/>
    <w:rsid w:val="00C277F9"/>
    <w:rsid w:val="00C27948"/>
    <w:rsid w:val="00C27C65"/>
    <w:rsid w:val="00C30F9F"/>
    <w:rsid w:val="00C312E5"/>
    <w:rsid w:val="00C31FC4"/>
    <w:rsid w:val="00C32071"/>
    <w:rsid w:val="00C32213"/>
    <w:rsid w:val="00C324BE"/>
    <w:rsid w:val="00C324D4"/>
    <w:rsid w:val="00C331CF"/>
    <w:rsid w:val="00C33623"/>
    <w:rsid w:val="00C33D46"/>
    <w:rsid w:val="00C33EDD"/>
    <w:rsid w:val="00C34172"/>
    <w:rsid w:val="00C3431F"/>
    <w:rsid w:val="00C3433C"/>
    <w:rsid w:val="00C3447A"/>
    <w:rsid w:val="00C344A9"/>
    <w:rsid w:val="00C3486C"/>
    <w:rsid w:val="00C34B0B"/>
    <w:rsid w:val="00C34D07"/>
    <w:rsid w:val="00C35444"/>
    <w:rsid w:val="00C35A76"/>
    <w:rsid w:val="00C35C30"/>
    <w:rsid w:val="00C35CF2"/>
    <w:rsid w:val="00C367C9"/>
    <w:rsid w:val="00C369BF"/>
    <w:rsid w:val="00C37353"/>
    <w:rsid w:val="00C37358"/>
    <w:rsid w:val="00C374DB"/>
    <w:rsid w:val="00C37AB4"/>
    <w:rsid w:val="00C37EBD"/>
    <w:rsid w:val="00C40230"/>
    <w:rsid w:val="00C411D4"/>
    <w:rsid w:val="00C416B9"/>
    <w:rsid w:val="00C423BF"/>
    <w:rsid w:val="00C42DA7"/>
    <w:rsid w:val="00C43003"/>
    <w:rsid w:val="00C43102"/>
    <w:rsid w:val="00C43142"/>
    <w:rsid w:val="00C43674"/>
    <w:rsid w:val="00C439AF"/>
    <w:rsid w:val="00C44B06"/>
    <w:rsid w:val="00C44BE9"/>
    <w:rsid w:val="00C462E6"/>
    <w:rsid w:val="00C4696C"/>
    <w:rsid w:val="00C46BFC"/>
    <w:rsid w:val="00C46EEB"/>
    <w:rsid w:val="00C47088"/>
    <w:rsid w:val="00C47B31"/>
    <w:rsid w:val="00C5020D"/>
    <w:rsid w:val="00C503CE"/>
    <w:rsid w:val="00C50448"/>
    <w:rsid w:val="00C5095D"/>
    <w:rsid w:val="00C51481"/>
    <w:rsid w:val="00C51925"/>
    <w:rsid w:val="00C51C21"/>
    <w:rsid w:val="00C51D57"/>
    <w:rsid w:val="00C526BE"/>
    <w:rsid w:val="00C52E29"/>
    <w:rsid w:val="00C53178"/>
    <w:rsid w:val="00C53EC9"/>
    <w:rsid w:val="00C5479B"/>
    <w:rsid w:val="00C551F9"/>
    <w:rsid w:val="00C5634A"/>
    <w:rsid w:val="00C56F47"/>
    <w:rsid w:val="00C571D9"/>
    <w:rsid w:val="00C578E6"/>
    <w:rsid w:val="00C60168"/>
    <w:rsid w:val="00C60200"/>
    <w:rsid w:val="00C60510"/>
    <w:rsid w:val="00C60564"/>
    <w:rsid w:val="00C605CC"/>
    <w:rsid w:val="00C60661"/>
    <w:rsid w:val="00C6099F"/>
    <w:rsid w:val="00C61289"/>
    <w:rsid w:val="00C612C3"/>
    <w:rsid w:val="00C61801"/>
    <w:rsid w:val="00C61AEA"/>
    <w:rsid w:val="00C61B61"/>
    <w:rsid w:val="00C61EFA"/>
    <w:rsid w:val="00C6278F"/>
    <w:rsid w:val="00C629AF"/>
    <w:rsid w:val="00C62AAD"/>
    <w:rsid w:val="00C62B87"/>
    <w:rsid w:val="00C6381B"/>
    <w:rsid w:val="00C63E45"/>
    <w:rsid w:val="00C642EC"/>
    <w:rsid w:val="00C647A5"/>
    <w:rsid w:val="00C6492E"/>
    <w:rsid w:val="00C64971"/>
    <w:rsid w:val="00C65236"/>
    <w:rsid w:val="00C65C5A"/>
    <w:rsid w:val="00C66230"/>
    <w:rsid w:val="00C66F86"/>
    <w:rsid w:val="00C6719B"/>
    <w:rsid w:val="00C701D0"/>
    <w:rsid w:val="00C70D67"/>
    <w:rsid w:val="00C71378"/>
    <w:rsid w:val="00C7166B"/>
    <w:rsid w:val="00C719CB"/>
    <w:rsid w:val="00C71F79"/>
    <w:rsid w:val="00C733A7"/>
    <w:rsid w:val="00C736C1"/>
    <w:rsid w:val="00C73C5B"/>
    <w:rsid w:val="00C73CF5"/>
    <w:rsid w:val="00C74386"/>
    <w:rsid w:val="00C74659"/>
    <w:rsid w:val="00C74888"/>
    <w:rsid w:val="00C7517E"/>
    <w:rsid w:val="00C751B3"/>
    <w:rsid w:val="00C754CB"/>
    <w:rsid w:val="00C757EF"/>
    <w:rsid w:val="00C759C7"/>
    <w:rsid w:val="00C75A8C"/>
    <w:rsid w:val="00C75C4D"/>
    <w:rsid w:val="00C75D8C"/>
    <w:rsid w:val="00C7645A"/>
    <w:rsid w:val="00C76908"/>
    <w:rsid w:val="00C7694E"/>
    <w:rsid w:val="00C76D0D"/>
    <w:rsid w:val="00C76E99"/>
    <w:rsid w:val="00C77715"/>
    <w:rsid w:val="00C77A66"/>
    <w:rsid w:val="00C80097"/>
    <w:rsid w:val="00C809F0"/>
    <w:rsid w:val="00C80A29"/>
    <w:rsid w:val="00C80C85"/>
    <w:rsid w:val="00C80CD7"/>
    <w:rsid w:val="00C818F0"/>
    <w:rsid w:val="00C8228E"/>
    <w:rsid w:val="00C826F5"/>
    <w:rsid w:val="00C82CE7"/>
    <w:rsid w:val="00C8335F"/>
    <w:rsid w:val="00C833B0"/>
    <w:rsid w:val="00C833D0"/>
    <w:rsid w:val="00C834D1"/>
    <w:rsid w:val="00C83587"/>
    <w:rsid w:val="00C835D2"/>
    <w:rsid w:val="00C83CE1"/>
    <w:rsid w:val="00C84057"/>
    <w:rsid w:val="00C84360"/>
    <w:rsid w:val="00C84AD6"/>
    <w:rsid w:val="00C8554A"/>
    <w:rsid w:val="00C857C6"/>
    <w:rsid w:val="00C85FBD"/>
    <w:rsid w:val="00C869EC"/>
    <w:rsid w:val="00C86C62"/>
    <w:rsid w:val="00C86D59"/>
    <w:rsid w:val="00C86F4D"/>
    <w:rsid w:val="00C87034"/>
    <w:rsid w:val="00C8709F"/>
    <w:rsid w:val="00C879E6"/>
    <w:rsid w:val="00C87F7A"/>
    <w:rsid w:val="00C90665"/>
    <w:rsid w:val="00C909F3"/>
    <w:rsid w:val="00C90BD3"/>
    <w:rsid w:val="00C9158B"/>
    <w:rsid w:val="00C91746"/>
    <w:rsid w:val="00C91A75"/>
    <w:rsid w:val="00C91CCF"/>
    <w:rsid w:val="00C91E45"/>
    <w:rsid w:val="00C92BC1"/>
    <w:rsid w:val="00C92E65"/>
    <w:rsid w:val="00C933D1"/>
    <w:rsid w:val="00C9346C"/>
    <w:rsid w:val="00C93597"/>
    <w:rsid w:val="00C939C3"/>
    <w:rsid w:val="00C93D7C"/>
    <w:rsid w:val="00C93D84"/>
    <w:rsid w:val="00C93E46"/>
    <w:rsid w:val="00C93FFD"/>
    <w:rsid w:val="00C943FD"/>
    <w:rsid w:val="00C94C79"/>
    <w:rsid w:val="00C94EA0"/>
    <w:rsid w:val="00C95003"/>
    <w:rsid w:val="00C9548A"/>
    <w:rsid w:val="00C958E8"/>
    <w:rsid w:val="00C95907"/>
    <w:rsid w:val="00C95E92"/>
    <w:rsid w:val="00C95ED3"/>
    <w:rsid w:val="00C96298"/>
    <w:rsid w:val="00C96446"/>
    <w:rsid w:val="00C96ADC"/>
    <w:rsid w:val="00C97194"/>
    <w:rsid w:val="00C97EC2"/>
    <w:rsid w:val="00CA01C8"/>
    <w:rsid w:val="00CA07C8"/>
    <w:rsid w:val="00CA0B14"/>
    <w:rsid w:val="00CA0E11"/>
    <w:rsid w:val="00CA108A"/>
    <w:rsid w:val="00CA11FE"/>
    <w:rsid w:val="00CA1377"/>
    <w:rsid w:val="00CA1E01"/>
    <w:rsid w:val="00CA1EA4"/>
    <w:rsid w:val="00CA2DD4"/>
    <w:rsid w:val="00CA3051"/>
    <w:rsid w:val="00CA38EB"/>
    <w:rsid w:val="00CA3D5C"/>
    <w:rsid w:val="00CA4151"/>
    <w:rsid w:val="00CA451A"/>
    <w:rsid w:val="00CA4C3B"/>
    <w:rsid w:val="00CA4DEE"/>
    <w:rsid w:val="00CA5765"/>
    <w:rsid w:val="00CA5BB7"/>
    <w:rsid w:val="00CA5D50"/>
    <w:rsid w:val="00CA683B"/>
    <w:rsid w:val="00CA69D0"/>
    <w:rsid w:val="00CA7072"/>
    <w:rsid w:val="00CA719B"/>
    <w:rsid w:val="00CA7330"/>
    <w:rsid w:val="00CA75F6"/>
    <w:rsid w:val="00CA770F"/>
    <w:rsid w:val="00CA7A1A"/>
    <w:rsid w:val="00CB0045"/>
    <w:rsid w:val="00CB0614"/>
    <w:rsid w:val="00CB1027"/>
    <w:rsid w:val="00CB1802"/>
    <w:rsid w:val="00CB1FE8"/>
    <w:rsid w:val="00CB235E"/>
    <w:rsid w:val="00CB3355"/>
    <w:rsid w:val="00CB3BE8"/>
    <w:rsid w:val="00CB3FF0"/>
    <w:rsid w:val="00CB4D48"/>
    <w:rsid w:val="00CB55AB"/>
    <w:rsid w:val="00CB56ED"/>
    <w:rsid w:val="00CB5B1B"/>
    <w:rsid w:val="00CB5EEB"/>
    <w:rsid w:val="00CB5F08"/>
    <w:rsid w:val="00CB60FA"/>
    <w:rsid w:val="00CB6559"/>
    <w:rsid w:val="00CB68BD"/>
    <w:rsid w:val="00CB6C21"/>
    <w:rsid w:val="00CB7303"/>
    <w:rsid w:val="00CB747C"/>
    <w:rsid w:val="00CB74A8"/>
    <w:rsid w:val="00CB7978"/>
    <w:rsid w:val="00CB7C32"/>
    <w:rsid w:val="00CB7CA4"/>
    <w:rsid w:val="00CB7F99"/>
    <w:rsid w:val="00CC06DE"/>
    <w:rsid w:val="00CC1625"/>
    <w:rsid w:val="00CC18E0"/>
    <w:rsid w:val="00CC1A11"/>
    <w:rsid w:val="00CC2230"/>
    <w:rsid w:val="00CC2706"/>
    <w:rsid w:val="00CC3200"/>
    <w:rsid w:val="00CC34CF"/>
    <w:rsid w:val="00CC3D26"/>
    <w:rsid w:val="00CC4E30"/>
    <w:rsid w:val="00CC5164"/>
    <w:rsid w:val="00CC54FB"/>
    <w:rsid w:val="00CC6132"/>
    <w:rsid w:val="00CC62CF"/>
    <w:rsid w:val="00CC6387"/>
    <w:rsid w:val="00CC6636"/>
    <w:rsid w:val="00CC6923"/>
    <w:rsid w:val="00CC6BAB"/>
    <w:rsid w:val="00CC7875"/>
    <w:rsid w:val="00CC7EE5"/>
    <w:rsid w:val="00CD0503"/>
    <w:rsid w:val="00CD113E"/>
    <w:rsid w:val="00CD15B4"/>
    <w:rsid w:val="00CD17F0"/>
    <w:rsid w:val="00CD2A0F"/>
    <w:rsid w:val="00CD2A30"/>
    <w:rsid w:val="00CD2AD5"/>
    <w:rsid w:val="00CD3B5B"/>
    <w:rsid w:val="00CD4469"/>
    <w:rsid w:val="00CD4A40"/>
    <w:rsid w:val="00CD4F76"/>
    <w:rsid w:val="00CD4FD8"/>
    <w:rsid w:val="00CD55A0"/>
    <w:rsid w:val="00CD61E3"/>
    <w:rsid w:val="00CD6D31"/>
    <w:rsid w:val="00CD7FB3"/>
    <w:rsid w:val="00CE0123"/>
    <w:rsid w:val="00CE085E"/>
    <w:rsid w:val="00CE0ED0"/>
    <w:rsid w:val="00CE18CA"/>
    <w:rsid w:val="00CE2A1C"/>
    <w:rsid w:val="00CE2E03"/>
    <w:rsid w:val="00CE3280"/>
    <w:rsid w:val="00CE3F97"/>
    <w:rsid w:val="00CE4064"/>
    <w:rsid w:val="00CE4B61"/>
    <w:rsid w:val="00CE5CBC"/>
    <w:rsid w:val="00CE6B59"/>
    <w:rsid w:val="00CE6B8B"/>
    <w:rsid w:val="00CE7268"/>
    <w:rsid w:val="00CE72DE"/>
    <w:rsid w:val="00CE73F2"/>
    <w:rsid w:val="00CE7AD7"/>
    <w:rsid w:val="00CE7B9F"/>
    <w:rsid w:val="00CF01F0"/>
    <w:rsid w:val="00CF0B2F"/>
    <w:rsid w:val="00CF0C0D"/>
    <w:rsid w:val="00CF1A15"/>
    <w:rsid w:val="00CF218A"/>
    <w:rsid w:val="00CF2992"/>
    <w:rsid w:val="00CF3166"/>
    <w:rsid w:val="00CF4229"/>
    <w:rsid w:val="00CF4282"/>
    <w:rsid w:val="00CF4520"/>
    <w:rsid w:val="00CF4D3C"/>
    <w:rsid w:val="00CF541B"/>
    <w:rsid w:val="00CF57B8"/>
    <w:rsid w:val="00CF587F"/>
    <w:rsid w:val="00CF5C73"/>
    <w:rsid w:val="00CF7203"/>
    <w:rsid w:val="00CF7B40"/>
    <w:rsid w:val="00D004F8"/>
    <w:rsid w:val="00D007B4"/>
    <w:rsid w:val="00D00D1A"/>
    <w:rsid w:val="00D01270"/>
    <w:rsid w:val="00D013F2"/>
    <w:rsid w:val="00D01553"/>
    <w:rsid w:val="00D0157B"/>
    <w:rsid w:val="00D023F6"/>
    <w:rsid w:val="00D025CF"/>
    <w:rsid w:val="00D025E3"/>
    <w:rsid w:val="00D031BD"/>
    <w:rsid w:val="00D03C4E"/>
    <w:rsid w:val="00D03E7B"/>
    <w:rsid w:val="00D040CA"/>
    <w:rsid w:val="00D046F5"/>
    <w:rsid w:val="00D05661"/>
    <w:rsid w:val="00D06149"/>
    <w:rsid w:val="00D062BA"/>
    <w:rsid w:val="00D068BA"/>
    <w:rsid w:val="00D06B62"/>
    <w:rsid w:val="00D06B84"/>
    <w:rsid w:val="00D06F23"/>
    <w:rsid w:val="00D07416"/>
    <w:rsid w:val="00D07571"/>
    <w:rsid w:val="00D0760E"/>
    <w:rsid w:val="00D0762A"/>
    <w:rsid w:val="00D07634"/>
    <w:rsid w:val="00D100C5"/>
    <w:rsid w:val="00D105B5"/>
    <w:rsid w:val="00D10987"/>
    <w:rsid w:val="00D10D34"/>
    <w:rsid w:val="00D122C9"/>
    <w:rsid w:val="00D12BDC"/>
    <w:rsid w:val="00D1319E"/>
    <w:rsid w:val="00D13432"/>
    <w:rsid w:val="00D13CFA"/>
    <w:rsid w:val="00D13EB3"/>
    <w:rsid w:val="00D1583E"/>
    <w:rsid w:val="00D15B47"/>
    <w:rsid w:val="00D1612E"/>
    <w:rsid w:val="00D16A45"/>
    <w:rsid w:val="00D16C5B"/>
    <w:rsid w:val="00D1730F"/>
    <w:rsid w:val="00D17414"/>
    <w:rsid w:val="00D1761A"/>
    <w:rsid w:val="00D17DC0"/>
    <w:rsid w:val="00D203B5"/>
    <w:rsid w:val="00D207A4"/>
    <w:rsid w:val="00D20EFE"/>
    <w:rsid w:val="00D20FE8"/>
    <w:rsid w:val="00D2101D"/>
    <w:rsid w:val="00D2105B"/>
    <w:rsid w:val="00D21844"/>
    <w:rsid w:val="00D220B6"/>
    <w:rsid w:val="00D227AE"/>
    <w:rsid w:val="00D22E1E"/>
    <w:rsid w:val="00D23058"/>
    <w:rsid w:val="00D231D5"/>
    <w:rsid w:val="00D233E3"/>
    <w:rsid w:val="00D2370E"/>
    <w:rsid w:val="00D23C0A"/>
    <w:rsid w:val="00D23E23"/>
    <w:rsid w:val="00D2446D"/>
    <w:rsid w:val="00D244CB"/>
    <w:rsid w:val="00D2492B"/>
    <w:rsid w:val="00D24C40"/>
    <w:rsid w:val="00D250F3"/>
    <w:rsid w:val="00D25390"/>
    <w:rsid w:val="00D25818"/>
    <w:rsid w:val="00D258B5"/>
    <w:rsid w:val="00D25EFE"/>
    <w:rsid w:val="00D263C8"/>
    <w:rsid w:val="00D26734"/>
    <w:rsid w:val="00D26932"/>
    <w:rsid w:val="00D26C74"/>
    <w:rsid w:val="00D2725B"/>
    <w:rsid w:val="00D27277"/>
    <w:rsid w:val="00D301B1"/>
    <w:rsid w:val="00D3053D"/>
    <w:rsid w:val="00D3178B"/>
    <w:rsid w:val="00D31866"/>
    <w:rsid w:val="00D31B0F"/>
    <w:rsid w:val="00D31B15"/>
    <w:rsid w:val="00D32928"/>
    <w:rsid w:val="00D329D1"/>
    <w:rsid w:val="00D32BE1"/>
    <w:rsid w:val="00D32C9E"/>
    <w:rsid w:val="00D332FC"/>
    <w:rsid w:val="00D33A66"/>
    <w:rsid w:val="00D33C32"/>
    <w:rsid w:val="00D33CEF"/>
    <w:rsid w:val="00D34132"/>
    <w:rsid w:val="00D341FB"/>
    <w:rsid w:val="00D344C4"/>
    <w:rsid w:val="00D34D5A"/>
    <w:rsid w:val="00D34DA1"/>
    <w:rsid w:val="00D34F5E"/>
    <w:rsid w:val="00D3510F"/>
    <w:rsid w:val="00D35712"/>
    <w:rsid w:val="00D35A9A"/>
    <w:rsid w:val="00D360A2"/>
    <w:rsid w:val="00D36232"/>
    <w:rsid w:val="00D36256"/>
    <w:rsid w:val="00D365E5"/>
    <w:rsid w:val="00D36740"/>
    <w:rsid w:val="00D36911"/>
    <w:rsid w:val="00D3708C"/>
    <w:rsid w:val="00D370E9"/>
    <w:rsid w:val="00D37584"/>
    <w:rsid w:val="00D375CA"/>
    <w:rsid w:val="00D40117"/>
    <w:rsid w:val="00D40569"/>
    <w:rsid w:val="00D409C7"/>
    <w:rsid w:val="00D40CD4"/>
    <w:rsid w:val="00D4103F"/>
    <w:rsid w:val="00D410AC"/>
    <w:rsid w:val="00D4130A"/>
    <w:rsid w:val="00D41520"/>
    <w:rsid w:val="00D42027"/>
    <w:rsid w:val="00D42637"/>
    <w:rsid w:val="00D42C90"/>
    <w:rsid w:val="00D42EC3"/>
    <w:rsid w:val="00D4367A"/>
    <w:rsid w:val="00D43D2F"/>
    <w:rsid w:val="00D443F0"/>
    <w:rsid w:val="00D448DD"/>
    <w:rsid w:val="00D44B8D"/>
    <w:rsid w:val="00D44E4F"/>
    <w:rsid w:val="00D44EFC"/>
    <w:rsid w:val="00D460AA"/>
    <w:rsid w:val="00D463E2"/>
    <w:rsid w:val="00D46731"/>
    <w:rsid w:val="00D46AA5"/>
    <w:rsid w:val="00D46EE8"/>
    <w:rsid w:val="00D47813"/>
    <w:rsid w:val="00D505CF"/>
    <w:rsid w:val="00D50692"/>
    <w:rsid w:val="00D50A66"/>
    <w:rsid w:val="00D50E69"/>
    <w:rsid w:val="00D50F5A"/>
    <w:rsid w:val="00D51447"/>
    <w:rsid w:val="00D5177C"/>
    <w:rsid w:val="00D51AE8"/>
    <w:rsid w:val="00D51E8D"/>
    <w:rsid w:val="00D523BE"/>
    <w:rsid w:val="00D52C6C"/>
    <w:rsid w:val="00D52E63"/>
    <w:rsid w:val="00D52E7B"/>
    <w:rsid w:val="00D52E9A"/>
    <w:rsid w:val="00D53A04"/>
    <w:rsid w:val="00D53A21"/>
    <w:rsid w:val="00D540F0"/>
    <w:rsid w:val="00D54A08"/>
    <w:rsid w:val="00D54B3E"/>
    <w:rsid w:val="00D54FD1"/>
    <w:rsid w:val="00D5615E"/>
    <w:rsid w:val="00D56601"/>
    <w:rsid w:val="00D570DE"/>
    <w:rsid w:val="00D5758A"/>
    <w:rsid w:val="00D5787F"/>
    <w:rsid w:val="00D5793C"/>
    <w:rsid w:val="00D57BC3"/>
    <w:rsid w:val="00D57E6E"/>
    <w:rsid w:val="00D606C9"/>
    <w:rsid w:val="00D60F4E"/>
    <w:rsid w:val="00D610D9"/>
    <w:rsid w:val="00D6141A"/>
    <w:rsid w:val="00D61B15"/>
    <w:rsid w:val="00D61F70"/>
    <w:rsid w:val="00D620D3"/>
    <w:rsid w:val="00D6286F"/>
    <w:rsid w:val="00D629B4"/>
    <w:rsid w:val="00D636A2"/>
    <w:rsid w:val="00D63EDF"/>
    <w:rsid w:val="00D64163"/>
    <w:rsid w:val="00D64A44"/>
    <w:rsid w:val="00D64C7F"/>
    <w:rsid w:val="00D64E75"/>
    <w:rsid w:val="00D64EFB"/>
    <w:rsid w:val="00D650B7"/>
    <w:rsid w:val="00D65ED7"/>
    <w:rsid w:val="00D661FF"/>
    <w:rsid w:val="00D668E6"/>
    <w:rsid w:val="00D6786F"/>
    <w:rsid w:val="00D67C62"/>
    <w:rsid w:val="00D70DE3"/>
    <w:rsid w:val="00D70E53"/>
    <w:rsid w:val="00D7127C"/>
    <w:rsid w:val="00D712AC"/>
    <w:rsid w:val="00D7143B"/>
    <w:rsid w:val="00D7194A"/>
    <w:rsid w:val="00D71D23"/>
    <w:rsid w:val="00D71E0C"/>
    <w:rsid w:val="00D7228F"/>
    <w:rsid w:val="00D722DB"/>
    <w:rsid w:val="00D7252A"/>
    <w:rsid w:val="00D728EE"/>
    <w:rsid w:val="00D72DA2"/>
    <w:rsid w:val="00D72F03"/>
    <w:rsid w:val="00D7302F"/>
    <w:rsid w:val="00D7341F"/>
    <w:rsid w:val="00D737E9"/>
    <w:rsid w:val="00D7439D"/>
    <w:rsid w:val="00D74A9A"/>
    <w:rsid w:val="00D75051"/>
    <w:rsid w:val="00D75920"/>
    <w:rsid w:val="00D75D2A"/>
    <w:rsid w:val="00D76991"/>
    <w:rsid w:val="00D76CE0"/>
    <w:rsid w:val="00D77979"/>
    <w:rsid w:val="00D779A2"/>
    <w:rsid w:val="00D77ACD"/>
    <w:rsid w:val="00D77CF9"/>
    <w:rsid w:val="00D80239"/>
    <w:rsid w:val="00D802CF"/>
    <w:rsid w:val="00D80C36"/>
    <w:rsid w:val="00D811D4"/>
    <w:rsid w:val="00D812A6"/>
    <w:rsid w:val="00D81B04"/>
    <w:rsid w:val="00D81C89"/>
    <w:rsid w:val="00D82176"/>
    <w:rsid w:val="00D824FF"/>
    <w:rsid w:val="00D82EED"/>
    <w:rsid w:val="00D832A4"/>
    <w:rsid w:val="00D83862"/>
    <w:rsid w:val="00D83871"/>
    <w:rsid w:val="00D839BF"/>
    <w:rsid w:val="00D83F1C"/>
    <w:rsid w:val="00D83F72"/>
    <w:rsid w:val="00D8413C"/>
    <w:rsid w:val="00D84512"/>
    <w:rsid w:val="00D84C8F"/>
    <w:rsid w:val="00D85B1A"/>
    <w:rsid w:val="00D85BFF"/>
    <w:rsid w:val="00D86011"/>
    <w:rsid w:val="00D86037"/>
    <w:rsid w:val="00D87378"/>
    <w:rsid w:val="00D87444"/>
    <w:rsid w:val="00D905BB"/>
    <w:rsid w:val="00D90CB9"/>
    <w:rsid w:val="00D90E5D"/>
    <w:rsid w:val="00D91445"/>
    <w:rsid w:val="00D91FD4"/>
    <w:rsid w:val="00D92C2F"/>
    <w:rsid w:val="00D934AE"/>
    <w:rsid w:val="00D93604"/>
    <w:rsid w:val="00D93958"/>
    <w:rsid w:val="00D93B29"/>
    <w:rsid w:val="00D93E45"/>
    <w:rsid w:val="00D941CF"/>
    <w:rsid w:val="00D944C4"/>
    <w:rsid w:val="00D945B9"/>
    <w:rsid w:val="00D94DDA"/>
    <w:rsid w:val="00D953D4"/>
    <w:rsid w:val="00D95742"/>
    <w:rsid w:val="00D9602A"/>
    <w:rsid w:val="00D961B7"/>
    <w:rsid w:val="00D9630D"/>
    <w:rsid w:val="00D96579"/>
    <w:rsid w:val="00D96C79"/>
    <w:rsid w:val="00D96D83"/>
    <w:rsid w:val="00D97127"/>
    <w:rsid w:val="00D97DB7"/>
    <w:rsid w:val="00D97E5E"/>
    <w:rsid w:val="00DA07ED"/>
    <w:rsid w:val="00DA09C5"/>
    <w:rsid w:val="00DA0D8A"/>
    <w:rsid w:val="00DA11EA"/>
    <w:rsid w:val="00DA1BF1"/>
    <w:rsid w:val="00DA1C30"/>
    <w:rsid w:val="00DA1E6F"/>
    <w:rsid w:val="00DA2DB5"/>
    <w:rsid w:val="00DA2FCD"/>
    <w:rsid w:val="00DA345C"/>
    <w:rsid w:val="00DA366F"/>
    <w:rsid w:val="00DA367C"/>
    <w:rsid w:val="00DA38B7"/>
    <w:rsid w:val="00DA3E8D"/>
    <w:rsid w:val="00DA4332"/>
    <w:rsid w:val="00DA4E4E"/>
    <w:rsid w:val="00DA604C"/>
    <w:rsid w:val="00DA6AE9"/>
    <w:rsid w:val="00DA6DAC"/>
    <w:rsid w:val="00DA6E51"/>
    <w:rsid w:val="00DA6FFE"/>
    <w:rsid w:val="00DA74CB"/>
    <w:rsid w:val="00DA75A9"/>
    <w:rsid w:val="00DA768A"/>
    <w:rsid w:val="00DA7BE2"/>
    <w:rsid w:val="00DB0209"/>
    <w:rsid w:val="00DB03F1"/>
    <w:rsid w:val="00DB0490"/>
    <w:rsid w:val="00DB15E1"/>
    <w:rsid w:val="00DB1CCA"/>
    <w:rsid w:val="00DB24E0"/>
    <w:rsid w:val="00DB289C"/>
    <w:rsid w:val="00DB3210"/>
    <w:rsid w:val="00DB37E2"/>
    <w:rsid w:val="00DB3C50"/>
    <w:rsid w:val="00DB41BA"/>
    <w:rsid w:val="00DB4582"/>
    <w:rsid w:val="00DB57D9"/>
    <w:rsid w:val="00DB57DF"/>
    <w:rsid w:val="00DB687A"/>
    <w:rsid w:val="00DB75B3"/>
    <w:rsid w:val="00DB7636"/>
    <w:rsid w:val="00DB7706"/>
    <w:rsid w:val="00DB7CF1"/>
    <w:rsid w:val="00DC0039"/>
    <w:rsid w:val="00DC0461"/>
    <w:rsid w:val="00DC04CA"/>
    <w:rsid w:val="00DC0C20"/>
    <w:rsid w:val="00DC0DF6"/>
    <w:rsid w:val="00DC0F60"/>
    <w:rsid w:val="00DC0FD2"/>
    <w:rsid w:val="00DC146A"/>
    <w:rsid w:val="00DC1544"/>
    <w:rsid w:val="00DC1693"/>
    <w:rsid w:val="00DC1F62"/>
    <w:rsid w:val="00DC247B"/>
    <w:rsid w:val="00DC2890"/>
    <w:rsid w:val="00DC2B82"/>
    <w:rsid w:val="00DC4202"/>
    <w:rsid w:val="00DC4E59"/>
    <w:rsid w:val="00DC5063"/>
    <w:rsid w:val="00DC545F"/>
    <w:rsid w:val="00DC5907"/>
    <w:rsid w:val="00DC5C6A"/>
    <w:rsid w:val="00DC5D9C"/>
    <w:rsid w:val="00DC5E5F"/>
    <w:rsid w:val="00DC5EE9"/>
    <w:rsid w:val="00DC6397"/>
    <w:rsid w:val="00DC650A"/>
    <w:rsid w:val="00DC6520"/>
    <w:rsid w:val="00DC6702"/>
    <w:rsid w:val="00DC6A2C"/>
    <w:rsid w:val="00DC6A69"/>
    <w:rsid w:val="00DC7322"/>
    <w:rsid w:val="00DC75B3"/>
    <w:rsid w:val="00DC75C4"/>
    <w:rsid w:val="00DC7C34"/>
    <w:rsid w:val="00DD09CA"/>
    <w:rsid w:val="00DD10F1"/>
    <w:rsid w:val="00DD12B9"/>
    <w:rsid w:val="00DD167E"/>
    <w:rsid w:val="00DD1DD7"/>
    <w:rsid w:val="00DD2148"/>
    <w:rsid w:val="00DD263C"/>
    <w:rsid w:val="00DD282D"/>
    <w:rsid w:val="00DD3181"/>
    <w:rsid w:val="00DD378B"/>
    <w:rsid w:val="00DD38BF"/>
    <w:rsid w:val="00DD3A93"/>
    <w:rsid w:val="00DD43A4"/>
    <w:rsid w:val="00DD4BB5"/>
    <w:rsid w:val="00DD573E"/>
    <w:rsid w:val="00DD5C9D"/>
    <w:rsid w:val="00DD64D1"/>
    <w:rsid w:val="00DD6688"/>
    <w:rsid w:val="00DD6708"/>
    <w:rsid w:val="00DD6D13"/>
    <w:rsid w:val="00DD7192"/>
    <w:rsid w:val="00DD7396"/>
    <w:rsid w:val="00DD755C"/>
    <w:rsid w:val="00DD783F"/>
    <w:rsid w:val="00DE0CFC"/>
    <w:rsid w:val="00DE1397"/>
    <w:rsid w:val="00DE1EF6"/>
    <w:rsid w:val="00DE24D8"/>
    <w:rsid w:val="00DE2781"/>
    <w:rsid w:val="00DE285D"/>
    <w:rsid w:val="00DE3122"/>
    <w:rsid w:val="00DE33DF"/>
    <w:rsid w:val="00DE3847"/>
    <w:rsid w:val="00DE39C3"/>
    <w:rsid w:val="00DE3F6A"/>
    <w:rsid w:val="00DE42B6"/>
    <w:rsid w:val="00DE4410"/>
    <w:rsid w:val="00DE47A6"/>
    <w:rsid w:val="00DE4A07"/>
    <w:rsid w:val="00DE4AB7"/>
    <w:rsid w:val="00DE4B41"/>
    <w:rsid w:val="00DE4C16"/>
    <w:rsid w:val="00DE55FC"/>
    <w:rsid w:val="00DE5AA3"/>
    <w:rsid w:val="00DE5C6A"/>
    <w:rsid w:val="00DE683D"/>
    <w:rsid w:val="00DE6F5E"/>
    <w:rsid w:val="00DE6F94"/>
    <w:rsid w:val="00DE710E"/>
    <w:rsid w:val="00DE71E2"/>
    <w:rsid w:val="00DE7F44"/>
    <w:rsid w:val="00DF0F07"/>
    <w:rsid w:val="00DF12FF"/>
    <w:rsid w:val="00DF1B1B"/>
    <w:rsid w:val="00DF1BDE"/>
    <w:rsid w:val="00DF1CC3"/>
    <w:rsid w:val="00DF1D60"/>
    <w:rsid w:val="00DF1F6C"/>
    <w:rsid w:val="00DF2150"/>
    <w:rsid w:val="00DF24C4"/>
    <w:rsid w:val="00DF265F"/>
    <w:rsid w:val="00DF28F9"/>
    <w:rsid w:val="00DF352A"/>
    <w:rsid w:val="00DF389F"/>
    <w:rsid w:val="00DF3970"/>
    <w:rsid w:val="00DF5717"/>
    <w:rsid w:val="00DF610B"/>
    <w:rsid w:val="00DF67C2"/>
    <w:rsid w:val="00DF7782"/>
    <w:rsid w:val="00E0091B"/>
    <w:rsid w:val="00E00F80"/>
    <w:rsid w:val="00E01362"/>
    <w:rsid w:val="00E01588"/>
    <w:rsid w:val="00E01600"/>
    <w:rsid w:val="00E020A0"/>
    <w:rsid w:val="00E0249E"/>
    <w:rsid w:val="00E025B3"/>
    <w:rsid w:val="00E025D8"/>
    <w:rsid w:val="00E02854"/>
    <w:rsid w:val="00E03493"/>
    <w:rsid w:val="00E041B2"/>
    <w:rsid w:val="00E04A65"/>
    <w:rsid w:val="00E0501B"/>
    <w:rsid w:val="00E06137"/>
    <w:rsid w:val="00E06EB1"/>
    <w:rsid w:val="00E0727C"/>
    <w:rsid w:val="00E078BA"/>
    <w:rsid w:val="00E07A09"/>
    <w:rsid w:val="00E07AA1"/>
    <w:rsid w:val="00E07FC7"/>
    <w:rsid w:val="00E1020B"/>
    <w:rsid w:val="00E10777"/>
    <w:rsid w:val="00E10945"/>
    <w:rsid w:val="00E11059"/>
    <w:rsid w:val="00E11178"/>
    <w:rsid w:val="00E11235"/>
    <w:rsid w:val="00E11427"/>
    <w:rsid w:val="00E11F5A"/>
    <w:rsid w:val="00E127A7"/>
    <w:rsid w:val="00E12AB3"/>
    <w:rsid w:val="00E12B72"/>
    <w:rsid w:val="00E12D80"/>
    <w:rsid w:val="00E1372B"/>
    <w:rsid w:val="00E13D50"/>
    <w:rsid w:val="00E13D6E"/>
    <w:rsid w:val="00E14240"/>
    <w:rsid w:val="00E15037"/>
    <w:rsid w:val="00E15221"/>
    <w:rsid w:val="00E1543D"/>
    <w:rsid w:val="00E159D1"/>
    <w:rsid w:val="00E15DA5"/>
    <w:rsid w:val="00E166B8"/>
    <w:rsid w:val="00E1675C"/>
    <w:rsid w:val="00E16D26"/>
    <w:rsid w:val="00E16EB6"/>
    <w:rsid w:val="00E17AA1"/>
    <w:rsid w:val="00E17E04"/>
    <w:rsid w:val="00E2066C"/>
    <w:rsid w:val="00E2125D"/>
    <w:rsid w:val="00E216E7"/>
    <w:rsid w:val="00E21D4C"/>
    <w:rsid w:val="00E223D7"/>
    <w:rsid w:val="00E22F72"/>
    <w:rsid w:val="00E24213"/>
    <w:rsid w:val="00E243FF"/>
    <w:rsid w:val="00E245DA"/>
    <w:rsid w:val="00E246EF"/>
    <w:rsid w:val="00E24CEE"/>
    <w:rsid w:val="00E256DC"/>
    <w:rsid w:val="00E273B2"/>
    <w:rsid w:val="00E30265"/>
    <w:rsid w:val="00E306BF"/>
    <w:rsid w:val="00E31C23"/>
    <w:rsid w:val="00E31CD7"/>
    <w:rsid w:val="00E325BC"/>
    <w:rsid w:val="00E325BF"/>
    <w:rsid w:val="00E3275E"/>
    <w:rsid w:val="00E32A97"/>
    <w:rsid w:val="00E32AB0"/>
    <w:rsid w:val="00E32BDB"/>
    <w:rsid w:val="00E33333"/>
    <w:rsid w:val="00E33AC7"/>
    <w:rsid w:val="00E342FB"/>
    <w:rsid w:val="00E343A3"/>
    <w:rsid w:val="00E34452"/>
    <w:rsid w:val="00E357FE"/>
    <w:rsid w:val="00E35A20"/>
    <w:rsid w:val="00E35C1B"/>
    <w:rsid w:val="00E3687C"/>
    <w:rsid w:val="00E36F87"/>
    <w:rsid w:val="00E373C5"/>
    <w:rsid w:val="00E37EAA"/>
    <w:rsid w:val="00E40353"/>
    <w:rsid w:val="00E40CA0"/>
    <w:rsid w:val="00E410D1"/>
    <w:rsid w:val="00E4135A"/>
    <w:rsid w:val="00E414E4"/>
    <w:rsid w:val="00E41947"/>
    <w:rsid w:val="00E41C01"/>
    <w:rsid w:val="00E42128"/>
    <w:rsid w:val="00E42407"/>
    <w:rsid w:val="00E42563"/>
    <w:rsid w:val="00E427E2"/>
    <w:rsid w:val="00E4283F"/>
    <w:rsid w:val="00E42A09"/>
    <w:rsid w:val="00E42F13"/>
    <w:rsid w:val="00E431F8"/>
    <w:rsid w:val="00E43AF9"/>
    <w:rsid w:val="00E44782"/>
    <w:rsid w:val="00E44A4C"/>
    <w:rsid w:val="00E44FF3"/>
    <w:rsid w:val="00E459C6"/>
    <w:rsid w:val="00E46177"/>
    <w:rsid w:val="00E468E9"/>
    <w:rsid w:val="00E46A7C"/>
    <w:rsid w:val="00E46CA6"/>
    <w:rsid w:val="00E46CC6"/>
    <w:rsid w:val="00E47114"/>
    <w:rsid w:val="00E47263"/>
    <w:rsid w:val="00E47894"/>
    <w:rsid w:val="00E47A15"/>
    <w:rsid w:val="00E47C1B"/>
    <w:rsid w:val="00E50219"/>
    <w:rsid w:val="00E503DF"/>
    <w:rsid w:val="00E50429"/>
    <w:rsid w:val="00E5042D"/>
    <w:rsid w:val="00E5173D"/>
    <w:rsid w:val="00E52018"/>
    <w:rsid w:val="00E524EB"/>
    <w:rsid w:val="00E52703"/>
    <w:rsid w:val="00E530E2"/>
    <w:rsid w:val="00E53228"/>
    <w:rsid w:val="00E53431"/>
    <w:rsid w:val="00E53A15"/>
    <w:rsid w:val="00E54A41"/>
    <w:rsid w:val="00E54DD8"/>
    <w:rsid w:val="00E54F36"/>
    <w:rsid w:val="00E54FCA"/>
    <w:rsid w:val="00E550AA"/>
    <w:rsid w:val="00E55D41"/>
    <w:rsid w:val="00E55D78"/>
    <w:rsid w:val="00E56EF2"/>
    <w:rsid w:val="00E572C5"/>
    <w:rsid w:val="00E57421"/>
    <w:rsid w:val="00E607A1"/>
    <w:rsid w:val="00E607F7"/>
    <w:rsid w:val="00E60ED6"/>
    <w:rsid w:val="00E61250"/>
    <w:rsid w:val="00E6182D"/>
    <w:rsid w:val="00E61B9D"/>
    <w:rsid w:val="00E61EAA"/>
    <w:rsid w:val="00E62A56"/>
    <w:rsid w:val="00E62B1B"/>
    <w:rsid w:val="00E62C3F"/>
    <w:rsid w:val="00E62D29"/>
    <w:rsid w:val="00E633F7"/>
    <w:rsid w:val="00E63877"/>
    <w:rsid w:val="00E63B1D"/>
    <w:rsid w:val="00E63BC7"/>
    <w:rsid w:val="00E63BD6"/>
    <w:rsid w:val="00E63D9F"/>
    <w:rsid w:val="00E63E30"/>
    <w:rsid w:val="00E64123"/>
    <w:rsid w:val="00E64547"/>
    <w:rsid w:val="00E648D5"/>
    <w:rsid w:val="00E65A22"/>
    <w:rsid w:val="00E66314"/>
    <w:rsid w:val="00E66CFD"/>
    <w:rsid w:val="00E67026"/>
    <w:rsid w:val="00E671D5"/>
    <w:rsid w:val="00E67786"/>
    <w:rsid w:val="00E67A1B"/>
    <w:rsid w:val="00E67E45"/>
    <w:rsid w:val="00E70741"/>
    <w:rsid w:val="00E70BD0"/>
    <w:rsid w:val="00E70F1E"/>
    <w:rsid w:val="00E70F83"/>
    <w:rsid w:val="00E716EE"/>
    <w:rsid w:val="00E727D0"/>
    <w:rsid w:val="00E72CF0"/>
    <w:rsid w:val="00E72FDD"/>
    <w:rsid w:val="00E73080"/>
    <w:rsid w:val="00E73DA5"/>
    <w:rsid w:val="00E73F1E"/>
    <w:rsid w:val="00E751D0"/>
    <w:rsid w:val="00E75817"/>
    <w:rsid w:val="00E75867"/>
    <w:rsid w:val="00E76338"/>
    <w:rsid w:val="00E763B1"/>
    <w:rsid w:val="00E763FD"/>
    <w:rsid w:val="00E7711C"/>
    <w:rsid w:val="00E77DC3"/>
    <w:rsid w:val="00E804C8"/>
    <w:rsid w:val="00E80DC2"/>
    <w:rsid w:val="00E81E1D"/>
    <w:rsid w:val="00E8215F"/>
    <w:rsid w:val="00E821B0"/>
    <w:rsid w:val="00E821D9"/>
    <w:rsid w:val="00E82988"/>
    <w:rsid w:val="00E829B0"/>
    <w:rsid w:val="00E82C89"/>
    <w:rsid w:val="00E82EDB"/>
    <w:rsid w:val="00E8332F"/>
    <w:rsid w:val="00E83582"/>
    <w:rsid w:val="00E835AB"/>
    <w:rsid w:val="00E83FFD"/>
    <w:rsid w:val="00E8499E"/>
    <w:rsid w:val="00E84BE4"/>
    <w:rsid w:val="00E8507B"/>
    <w:rsid w:val="00E8533C"/>
    <w:rsid w:val="00E8538F"/>
    <w:rsid w:val="00E854EA"/>
    <w:rsid w:val="00E85933"/>
    <w:rsid w:val="00E85EF1"/>
    <w:rsid w:val="00E86D6B"/>
    <w:rsid w:val="00E86FA6"/>
    <w:rsid w:val="00E87294"/>
    <w:rsid w:val="00E87DA8"/>
    <w:rsid w:val="00E9046E"/>
    <w:rsid w:val="00E911C6"/>
    <w:rsid w:val="00E917D2"/>
    <w:rsid w:val="00E91A7D"/>
    <w:rsid w:val="00E91C70"/>
    <w:rsid w:val="00E91D43"/>
    <w:rsid w:val="00E92FF9"/>
    <w:rsid w:val="00E9347E"/>
    <w:rsid w:val="00E94070"/>
    <w:rsid w:val="00E940D1"/>
    <w:rsid w:val="00E94482"/>
    <w:rsid w:val="00E94E23"/>
    <w:rsid w:val="00E952CF"/>
    <w:rsid w:val="00E95A6F"/>
    <w:rsid w:val="00E96662"/>
    <w:rsid w:val="00E9676A"/>
    <w:rsid w:val="00E96C24"/>
    <w:rsid w:val="00E97242"/>
    <w:rsid w:val="00E9731E"/>
    <w:rsid w:val="00EA0214"/>
    <w:rsid w:val="00EA029C"/>
    <w:rsid w:val="00EA02D3"/>
    <w:rsid w:val="00EA1344"/>
    <w:rsid w:val="00EA13FA"/>
    <w:rsid w:val="00EA173B"/>
    <w:rsid w:val="00EA1B29"/>
    <w:rsid w:val="00EA1D71"/>
    <w:rsid w:val="00EA222F"/>
    <w:rsid w:val="00EA2854"/>
    <w:rsid w:val="00EA2B21"/>
    <w:rsid w:val="00EA2CB2"/>
    <w:rsid w:val="00EA2EED"/>
    <w:rsid w:val="00EA322A"/>
    <w:rsid w:val="00EA3821"/>
    <w:rsid w:val="00EA3A4E"/>
    <w:rsid w:val="00EA3CB2"/>
    <w:rsid w:val="00EA408C"/>
    <w:rsid w:val="00EA4256"/>
    <w:rsid w:val="00EA4496"/>
    <w:rsid w:val="00EA52F4"/>
    <w:rsid w:val="00EA58E0"/>
    <w:rsid w:val="00EA6094"/>
    <w:rsid w:val="00EA658F"/>
    <w:rsid w:val="00EA6917"/>
    <w:rsid w:val="00EA6A2F"/>
    <w:rsid w:val="00EA6B09"/>
    <w:rsid w:val="00EA6CCA"/>
    <w:rsid w:val="00EA6EA3"/>
    <w:rsid w:val="00EA70C8"/>
    <w:rsid w:val="00EA7122"/>
    <w:rsid w:val="00EA7BBC"/>
    <w:rsid w:val="00EB011C"/>
    <w:rsid w:val="00EB03A0"/>
    <w:rsid w:val="00EB07B6"/>
    <w:rsid w:val="00EB0B42"/>
    <w:rsid w:val="00EB11CA"/>
    <w:rsid w:val="00EB148D"/>
    <w:rsid w:val="00EB1504"/>
    <w:rsid w:val="00EB1958"/>
    <w:rsid w:val="00EB2A8F"/>
    <w:rsid w:val="00EB3B04"/>
    <w:rsid w:val="00EB4244"/>
    <w:rsid w:val="00EB453C"/>
    <w:rsid w:val="00EB49C6"/>
    <w:rsid w:val="00EB4D8E"/>
    <w:rsid w:val="00EB4F3D"/>
    <w:rsid w:val="00EB54C9"/>
    <w:rsid w:val="00EB57FC"/>
    <w:rsid w:val="00EB626C"/>
    <w:rsid w:val="00EB6461"/>
    <w:rsid w:val="00EB6699"/>
    <w:rsid w:val="00EB67D0"/>
    <w:rsid w:val="00EB6848"/>
    <w:rsid w:val="00EB7042"/>
    <w:rsid w:val="00EB799D"/>
    <w:rsid w:val="00EB7EAD"/>
    <w:rsid w:val="00EC0B1A"/>
    <w:rsid w:val="00EC0EAA"/>
    <w:rsid w:val="00EC166F"/>
    <w:rsid w:val="00EC1679"/>
    <w:rsid w:val="00EC197F"/>
    <w:rsid w:val="00EC1BDB"/>
    <w:rsid w:val="00EC1CCF"/>
    <w:rsid w:val="00EC22C2"/>
    <w:rsid w:val="00EC252E"/>
    <w:rsid w:val="00EC259D"/>
    <w:rsid w:val="00EC2BC2"/>
    <w:rsid w:val="00EC2D42"/>
    <w:rsid w:val="00EC3409"/>
    <w:rsid w:val="00EC46F2"/>
    <w:rsid w:val="00EC4710"/>
    <w:rsid w:val="00EC479B"/>
    <w:rsid w:val="00EC57B0"/>
    <w:rsid w:val="00EC5E14"/>
    <w:rsid w:val="00EC657B"/>
    <w:rsid w:val="00EC671B"/>
    <w:rsid w:val="00EC6DDB"/>
    <w:rsid w:val="00EC6F3D"/>
    <w:rsid w:val="00EC6FD3"/>
    <w:rsid w:val="00EC75EB"/>
    <w:rsid w:val="00EC771A"/>
    <w:rsid w:val="00ED042C"/>
    <w:rsid w:val="00ED06D6"/>
    <w:rsid w:val="00ED0A8A"/>
    <w:rsid w:val="00ED231E"/>
    <w:rsid w:val="00ED240A"/>
    <w:rsid w:val="00ED267B"/>
    <w:rsid w:val="00ED2F04"/>
    <w:rsid w:val="00ED3342"/>
    <w:rsid w:val="00ED341A"/>
    <w:rsid w:val="00ED385F"/>
    <w:rsid w:val="00ED3ACA"/>
    <w:rsid w:val="00ED3BFE"/>
    <w:rsid w:val="00ED432E"/>
    <w:rsid w:val="00ED4C78"/>
    <w:rsid w:val="00ED4D9C"/>
    <w:rsid w:val="00ED5052"/>
    <w:rsid w:val="00ED5396"/>
    <w:rsid w:val="00ED5398"/>
    <w:rsid w:val="00ED5943"/>
    <w:rsid w:val="00ED6124"/>
    <w:rsid w:val="00ED63BC"/>
    <w:rsid w:val="00ED68BE"/>
    <w:rsid w:val="00ED7421"/>
    <w:rsid w:val="00ED7494"/>
    <w:rsid w:val="00ED7713"/>
    <w:rsid w:val="00ED7980"/>
    <w:rsid w:val="00ED7D2F"/>
    <w:rsid w:val="00ED7EB2"/>
    <w:rsid w:val="00EE0068"/>
    <w:rsid w:val="00EE0182"/>
    <w:rsid w:val="00EE03A6"/>
    <w:rsid w:val="00EE06AD"/>
    <w:rsid w:val="00EE0D7D"/>
    <w:rsid w:val="00EE0FA8"/>
    <w:rsid w:val="00EE16CB"/>
    <w:rsid w:val="00EE1898"/>
    <w:rsid w:val="00EE1A13"/>
    <w:rsid w:val="00EE1F18"/>
    <w:rsid w:val="00EE22FA"/>
    <w:rsid w:val="00EE2762"/>
    <w:rsid w:val="00EE2B0F"/>
    <w:rsid w:val="00EE377E"/>
    <w:rsid w:val="00EE38B6"/>
    <w:rsid w:val="00EE38BF"/>
    <w:rsid w:val="00EE3981"/>
    <w:rsid w:val="00EE3BB2"/>
    <w:rsid w:val="00EE3C52"/>
    <w:rsid w:val="00EE4308"/>
    <w:rsid w:val="00EE4820"/>
    <w:rsid w:val="00EE4A44"/>
    <w:rsid w:val="00EE4EB8"/>
    <w:rsid w:val="00EE5532"/>
    <w:rsid w:val="00EE5A00"/>
    <w:rsid w:val="00EE5C18"/>
    <w:rsid w:val="00EE606F"/>
    <w:rsid w:val="00EE6B8D"/>
    <w:rsid w:val="00EE6D1E"/>
    <w:rsid w:val="00EE6F1E"/>
    <w:rsid w:val="00EE7293"/>
    <w:rsid w:val="00EE7458"/>
    <w:rsid w:val="00EE7C4F"/>
    <w:rsid w:val="00EF01F2"/>
    <w:rsid w:val="00EF09A0"/>
    <w:rsid w:val="00EF0AA4"/>
    <w:rsid w:val="00EF0B7E"/>
    <w:rsid w:val="00EF1144"/>
    <w:rsid w:val="00EF123A"/>
    <w:rsid w:val="00EF1AE1"/>
    <w:rsid w:val="00EF1C0B"/>
    <w:rsid w:val="00EF1FB0"/>
    <w:rsid w:val="00EF21CC"/>
    <w:rsid w:val="00EF2563"/>
    <w:rsid w:val="00EF321A"/>
    <w:rsid w:val="00EF40E5"/>
    <w:rsid w:val="00EF40E9"/>
    <w:rsid w:val="00EF5749"/>
    <w:rsid w:val="00EF5FAA"/>
    <w:rsid w:val="00EF6073"/>
    <w:rsid w:val="00EF61FE"/>
    <w:rsid w:val="00EF7048"/>
    <w:rsid w:val="00EF75C3"/>
    <w:rsid w:val="00EF786E"/>
    <w:rsid w:val="00EF7FE1"/>
    <w:rsid w:val="00F00E01"/>
    <w:rsid w:val="00F0156F"/>
    <w:rsid w:val="00F01662"/>
    <w:rsid w:val="00F01E48"/>
    <w:rsid w:val="00F020FB"/>
    <w:rsid w:val="00F02788"/>
    <w:rsid w:val="00F028C4"/>
    <w:rsid w:val="00F02C3E"/>
    <w:rsid w:val="00F02F53"/>
    <w:rsid w:val="00F0336B"/>
    <w:rsid w:val="00F03565"/>
    <w:rsid w:val="00F036CE"/>
    <w:rsid w:val="00F0378E"/>
    <w:rsid w:val="00F03A94"/>
    <w:rsid w:val="00F03CED"/>
    <w:rsid w:val="00F043D1"/>
    <w:rsid w:val="00F04920"/>
    <w:rsid w:val="00F05030"/>
    <w:rsid w:val="00F05258"/>
    <w:rsid w:val="00F0580C"/>
    <w:rsid w:val="00F058C9"/>
    <w:rsid w:val="00F06201"/>
    <w:rsid w:val="00F06605"/>
    <w:rsid w:val="00F0689B"/>
    <w:rsid w:val="00F06C45"/>
    <w:rsid w:val="00F06C8F"/>
    <w:rsid w:val="00F07265"/>
    <w:rsid w:val="00F073AF"/>
    <w:rsid w:val="00F076E2"/>
    <w:rsid w:val="00F07B8D"/>
    <w:rsid w:val="00F101C8"/>
    <w:rsid w:val="00F103CA"/>
    <w:rsid w:val="00F120E2"/>
    <w:rsid w:val="00F12806"/>
    <w:rsid w:val="00F134CD"/>
    <w:rsid w:val="00F13867"/>
    <w:rsid w:val="00F140DE"/>
    <w:rsid w:val="00F14924"/>
    <w:rsid w:val="00F14BB7"/>
    <w:rsid w:val="00F15277"/>
    <w:rsid w:val="00F16333"/>
    <w:rsid w:val="00F1671C"/>
    <w:rsid w:val="00F16E8D"/>
    <w:rsid w:val="00F178D9"/>
    <w:rsid w:val="00F179F2"/>
    <w:rsid w:val="00F17A10"/>
    <w:rsid w:val="00F2026A"/>
    <w:rsid w:val="00F2034D"/>
    <w:rsid w:val="00F20414"/>
    <w:rsid w:val="00F2090A"/>
    <w:rsid w:val="00F21172"/>
    <w:rsid w:val="00F2123D"/>
    <w:rsid w:val="00F2264D"/>
    <w:rsid w:val="00F2299F"/>
    <w:rsid w:val="00F22E9C"/>
    <w:rsid w:val="00F242DD"/>
    <w:rsid w:val="00F24614"/>
    <w:rsid w:val="00F2474C"/>
    <w:rsid w:val="00F247D2"/>
    <w:rsid w:val="00F249F4"/>
    <w:rsid w:val="00F24AF6"/>
    <w:rsid w:val="00F24DCD"/>
    <w:rsid w:val="00F24EEA"/>
    <w:rsid w:val="00F25C56"/>
    <w:rsid w:val="00F25D38"/>
    <w:rsid w:val="00F26292"/>
    <w:rsid w:val="00F2634A"/>
    <w:rsid w:val="00F263AA"/>
    <w:rsid w:val="00F2660A"/>
    <w:rsid w:val="00F26626"/>
    <w:rsid w:val="00F26754"/>
    <w:rsid w:val="00F267B0"/>
    <w:rsid w:val="00F26836"/>
    <w:rsid w:val="00F269D5"/>
    <w:rsid w:val="00F26A20"/>
    <w:rsid w:val="00F26CF9"/>
    <w:rsid w:val="00F27CA6"/>
    <w:rsid w:val="00F27DCF"/>
    <w:rsid w:val="00F27F96"/>
    <w:rsid w:val="00F306A9"/>
    <w:rsid w:val="00F30902"/>
    <w:rsid w:val="00F30E20"/>
    <w:rsid w:val="00F30F5E"/>
    <w:rsid w:val="00F312CF"/>
    <w:rsid w:val="00F31654"/>
    <w:rsid w:val="00F325CA"/>
    <w:rsid w:val="00F33E55"/>
    <w:rsid w:val="00F33FCD"/>
    <w:rsid w:val="00F34118"/>
    <w:rsid w:val="00F34322"/>
    <w:rsid w:val="00F34C8D"/>
    <w:rsid w:val="00F350C8"/>
    <w:rsid w:val="00F35266"/>
    <w:rsid w:val="00F35546"/>
    <w:rsid w:val="00F357C3"/>
    <w:rsid w:val="00F35A8E"/>
    <w:rsid w:val="00F361B2"/>
    <w:rsid w:val="00F37561"/>
    <w:rsid w:val="00F3760E"/>
    <w:rsid w:val="00F37CF9"/>
    <w:rsid w:val="00F400BB"/>
    <w:rsid w:val="00F40237"/>
    <w:rsid w:val="00F404F3"/>
    <w:rsid w:val="00F4097F"/>
    <w:rsid w:val="00F4115A"/>
    <w:rsid w:val="00F41262"/>
    <w:rsid w:val="00F414F3"/>
    <w:rsid w:val="00F4159E"/>
    <w:rsid w:val="00F4161E"/>
    <w:rsid w:val="00F41628"/>
    <w:rsid w:val="00F4170A"/>
    <w:rsid w:val="00F41EBA"/>
    <w:rsid w:val="00F4202F"/>
    <w:rsid w:val="00F42569"/>
    <w:rsid w:val="00F42C9D"/>
    <w:rsid w:val="00F430EC"/>
    <w:rsid w:val="00F43F48"/>
    <w:rsid w:val="00F443B3"/>
    <w:rsid w:val="00F44BC7"/>
    <w:rsid w:val="00F44E6F"/>
    <w:rsid w:val="00F45CED"/>
    <w:rsid w:val="00F46582"/>
    <w:rsid w:val="00F46855"/>
    <w:rsid w:val="00F46ECB"/>
    <w:rsid w:val="00F4731A"/>
    <w:rsid w:val="00F473BF"/>
    <w:rsid w:val="00F50209"/>
    <w:rsid w:val="00F51137"/>
    <w:rsid w:val="00F51165"/>
    <w:rsid w:val="00F51841"/>
    <w:rsid w:val="00F51AB0"/>
    <w:rsid w:val="00F52E78"/>
    <w:rsid w:val="00F53099"/>
    <w:rsid w:val="00F5322D"/>
    <w:rsid w:val="00F536F6"/>
    <w:rsid w:val="00F53955"/>
    <w:rsid w:val="00F53A23"/>
    <w:rsid w:val="00F53B1A"/>
    <w:rsid w:val="00F541D8"/>
    <w:rsid w:val="00F546D1"/>
    <w:rsid w:val="00F5511A"/>
    <w:rsid w:val="00F55180"/>
    <w:rsid w:val="00F560D6"/>
    <w:rsid w:val="00F568FE"/>
    <w:rsid w:val="00F56941"/>
    <w:rsid w:val="00F56AF7"/>
    <w:rsid w:val="00F56C41"/>
    <w:rsid w:val="00F56C6B"/>
    <w:rsid w:val="00F57615"/>
    <w:rsid w:val="00F57AFE"/>
    <w:rsid w:val="00F57F2C"/>
    <w:rsid w:val="00F604D8"/>
    <w:rsid w:val="00F60739"/>
    <w:rsid w:val="00F60E40"/>
    <w:rsid w:val="00F60F7B"/>
    <w:rsid w:val="00F62949"/>
    <w:rsid w:val="00F62D14"/>
    <w:rsid w:val="00F63445"/>
    <w:rsid w:val="00F63A16"/>
    <w:rsid w:val="00F63D75"/>
    <w:rsid w:val="00F63FB2"/>
    <w:rsid w:val="00F640D0"/>
    <w:rsid w:val="00F641FF"/>
    <w:rsid w:val="00F643AE"/>
    <w:rsid w:val="00F64A4E"/>
    <w:rsid w:val="00F64D09"/>
    <w:rsid w:val="00F64D5A"/>
    <w:rsid w:val="00F66DEF"/>
    <w:rsid w:val="00F67059"/>
    <w:rsid w:val="00F6742D"/>
    <w:rsid w:val="00F67EDB"/>
    <w:rsid w:val="00F70245"/>
    <w:rsid w:val="00F70440"/>
    <w:rsid w:val="00F70748"/>
    <w:rsid w:val="00F70837"/>
    <w:rsid w:val="00F70999"/>
    <w:rsid w:val="00F70C5F"/>
    <w:rsid w:val="00F71A0F"/>
    <w:rsid w:val="00F71AD2"/>
    <w:rsid w:val="00F71C09"/>
    <w:rsid w:val="00F72C0A"/>
    <w:rsid w:val="00F73554"/>
    <w:rsid w:val="00F73B22"/>
    <w:rsid w:val="00F73F79"/>
    <w:rsid w:val="00F752A4"/>
    <w:rsid w:val="00F75657"/>
    <w:rsid w:val="00F75945"/>
    <w:rsid w:val="00F759E2"/>
    <w:rsid w:val="00F75A21"/>
    <w:rsid w:val="00F75BC9"/>
    <w:rsid w:val="00F76595"/>
    <w:rsid w:val="00F765E2"/>
    <w:rsid w:val="00F766A1"/>
    <w:rsid w:val="00F76D22"/>
    <w:rsid w:val="00F77364"/>
    <w:rsid w:val="00F77698"/>
    <w:rsid w:val="00F7798E"/>
    <w:rsid w:val="00F77FE6"/>
    <w:rsid w:val="00F80AF8"/>
    <w:rsid w:val="00F80CCB"/>
    <w:rsid w:val="00F81FBE"/>
    <w:rsid w:val="00F820DF"/>
    <w:rsid w:val="00F82422"/>
    <w:rsid w:val="00F82CC9"/>
    <w:rsid w:val="00F8314D"/>
    <w:rsid w:val="00F8314F"/>
    <w:rsid w:val="00F8368D"/>
    <w:rsid w:val="00F839E7"/>
    <w:rsid w:val="00F846FE"/>
    <w:rsid w:val="00F849CB"/>
    <w:rsid w:val="00F849E7"/>
    <w:rsid w:val="00F84BE6"/>
    <w:rsid w:val="00F84DD8"/>
    <w:rsid w:val="00F85485"/>
    <w:rsid w:val="00F85D96"/>
    <w:rsid w:val="00F85E7C"/>
    <w:rsid w:val="00F85FA6"/>
    <w:rsid w:val="00F86210"/>
    <w:rsid w:val="00F863D3"/>
    <w:rsid w:val="00F86511"/>
    <w:rsid w:val="00F86538"/>
    <w:rsid w:val="00F865CD"/>
    <w:rsid w:val="00F8676D"/>
    <w:rsid w:val="00F86985"/>
    <w:rsid w:val="00F869CD"/>
    <w:rsid w:val="00F86CF6"/>
    <w:rsid w:val="00F87691"/>
    <w:rsid w:val="00F878C0"/>
    <w:rsid w:val="00F87FE2"/>
    <w:rsid w:val="00F9019D"/>
    <w:rsid w:val="00F9031B"/>
    <w:rsid w:val="00F9046C"/>
    <w:rsid w:val="00F904A1"/>
    <w:rsid w:val="00F90CAE"/>
    <w:rsid w:val="00F9133D"/>
    <w:rsid w:val="00F915BA"/>
    <w:rsid w:val="00F91911"/>
    <w:rsid w:val="00F91B32"/>
    <w:rsid w:val="00F91D88"/>
    <w:rsid w:val="00F91F28"/>
    <w:rsid w:val="00F929E1"/>
    <w:rsid w:val="00F92FFE"/>
    <w:rsid w:val="00F933AC"/>
    <w:rsid w:val="00F93BD2"/>
    <w:rsid w:val="00F94DC0"/>
    <w:rsid w:val="00F95A55"/>
    <w:rsid w:val="00F95DD9"/>
    <w:rsid w:val="00F9623B"/>
    <w:rsid w:val="00F964C5"/>
    <w:rsid w:val="00F96846"/>
    <w:rsid w:val="00F96A1A"/>
    <w:rsid w:val="00F96B3F"/>
    <w:rsid w:val="00F96CFA"/>
    <w:rsid w:val="00F96F82"/>
    <w:rsid w:val="00F97374"/>
    <w:rsid w:val="00F9749A"/>
    <w:rsid w:val="00F979C7"/>
    <w:rsid w:val="00F97D61"/>
    <w:rsid w:val="00F97E5E"/>
    <w:rsid w:val="00F97EAD"/>
    <w:rsid w:val="00F97FAA"/>
    <w:rsid w:val="00FA0C47"/>
    <w:rsid w:val="00FA1308"/>
    <w:rsid w:val="00FA1FE6"/>
    <w:rsid w:val="00FA23C6"/>
    <w:rsid w:val="00FA2DB5"/>
    <w:rsid w:val="00FA320D"/>
    <w:rsid w:val="00FA3422"/>
    <w:rsid w:val="00FA343C"/>
    <w:rsid w:val="00FA4242"/>
    <w:rsid w:val="00FA45A7"/>
    <w:rsid w:val="00FA493B"/>
    <w:rsid w:val="00FA539E"/>
    <w:rsid w:val="00FA540F"/>
    <w:rsid w:val="00FA5F8E"/>
    <w:rsid w:val="00FA63F5"/>
    <w:rsid w:val="00FA65B8"/>
    <w:rsid w:val="00FA65D3"/>
    <w:rsid w:val="00FA6BB7"/>
    <w:rsid w:val="00FA6C41"/>
    <w:rsid w:val="00FA6F7F"/>
    <w:rsid w:val="00FA76BF"/>
    <w:rsid w:val="00FB032E"/>
    <w:rsid w:val="00FB0767"/>
    <w:rsid w:val="00FB0A94"/>
    <w:rsid w:val="00FB160D"/>
    <w:rsid w:val="00FB19AF"/>
    <w:rsid w:val="00FB1CCB"/>
    <w:rsid w:val="00FB1E46"/>
    <w:rsid w:val="00FB1F09"/>
    <w:rsid w:val="00FB20C5"/>
    <w:rsid w:val="00FB2358"/>
    <w:rsid w:val="00FB2961"/>
    <w:rsid w:val="00FB2F1D"/>
    <w:rsid w:val="00FB330F"/>
    <w:rsid w:val="00FB33D4"/>
    <w:rsid w:val="00FB3A23"/>
    <w:rsid w:val="00FB3E38"/>
    <w:rsid w:val="00FB3ECE"/>
    <w:rsid w:val="00FB4306"/>
    <w:rsid w:val="00FB4662"/>
    <w:rsid w:val="00FB4826"/>
    <w:rsid w:val="00FB4C02"/>
    <w:rsid w:val="00FB4F13"/>
    <w:rsid w:val="00FB4F3D"/>
    <w:rsid w:val="00FB5241"/>
    <w:rsid w:val="00FB536E"/>
    <w:rsid w:val="00FB5390"/>
    <w:rsid w:val="00FB55A1"/>
    <w:rsid w:val="00FB59E8"/>
    <w:rsid w:val="00FB6054"/>
    <w:rsid w:val="00FB618D"/>
    <w:rsid w:val="00FB61FD"/>
    <w:rsid w:val="00FB64C3"/>
    <w:rsid w:val="00FB7141"/>
    <w:rsid w:val="00FB744E"/>
    <w:rsid w:val="00FB7838"/>
    <w:rsid w:val="00FB7F66"/>
    <w:rsid w:val="00FC10C0"/>
    <w:rsid w:val="00FC120D"/>
    <w:rsid w:val="00FC15D4"/>
    <w:rsid w:val="00FC2209"/>
    <w:rsid w:val="00FC274E"/>
    <w:rsid w:val="00FC2BA5"/>
    <w:rsid w:val="00FC3716"/>
    <w:rsid w:val="00FC4258"/>
    <w:rsid w:val="00FC42E1"/>
    <w:rsid w:val="00FC430E"/>
    <w:rsid w:val="00FC4A7B"/>
    <w:rsid w:val="00FC4FEC"/>
    <w:rsid w:val="00FC5A93"/>
    <w:rsid w:val="00FC5C39"/>
    <w:rsid w:val="00FC5D75"/>
    <w:rsid w:val="00FC644D"/>
    <w:rsid w:val="00FC65BB"/>
    <w:rsid w:val="00FC6695"/>
    <w:rsid w:val="00FC66C1"/>
    <w:rsid w:val="00FC69D5"/>
    <w:rsid w:val="00FC6DBB"/>
    <w:rsid w:val="00FC71B4"/>
    <w:rsid w:val="00FC72EA"/>
    <w:rsid w:val="00FC75A3"/>
    <w:rsid w:val="00FC7BAE"/>
    <w:rsid w:val="00FD04DD"/>
    <w:rsid w:val="00FD0E2B"/>
    <w:rsid w:val="00FD1007"/>
    <w:rsid w:val="00FD107C"/>
    <w:rsid w:val="00FD113D"/>
    <w:rsid w:val="00FD134B"/>
    <w:rsid w:val="00FD1427"/>
    <w:rsid w:val="00FD18E8"/>
    <w:rsid w:val="00FD1C09"/>
    <w:rsid w:val="00FD1C71"/>
    <w:rsid w:val="00FD1C73"/>
    <w:rsid w:val="00FD2095"/>
    <w:rsid w:val="00FD2146"/>
    <w:rsid w:val="00FD3052"/>
    <w:rsid w:val="00FD3B4F"/>
    <w:rsid w:val="00FD4262"/>
    <w:rsid w:val="00FD43E6"/>
    <w:rsid w:val="00FD49B2"/>
    <w:rsid w:val="00FD4BF9"/>
    <w:rsid w:val="00FD508B"/>
    <w:rsid w:val="00FD51BF"/>
    <w:rsid w:val="00FD5206"/>
    <w:rsid w:val="00FD5BE1"/>
    <w:rsid w:val="00FD5F36"/>
    <w:rsid w:val="00FD70A4"/>
    <w:rsid w:val="00FD7542"/>
    <w:rsid w:val="00FD7E72"/>
    <w:rsid w:val="00FE000B"/>
    <w:rsid w:val="00FE003D"/>
    <w:rsid w:val="00FE0468"/>
    <w:rsid w:val="00FE048B"/>
    <w:rsid w:val="00FE0D6D"/>
    <w:rsid w:val="00FE2472"/>
    <w:rsid w:val="00FE2A0E"/>
    <w:rsid w:val="00FE2E49"/>
    <w:rsid w:val="00FE349F"/>
    <w:rsid w:val="00FE4312"/>
    <w:rsid w:val="00FE5696"/>
    <w:rsid w:val="00FE58CC"/>
    <w:rsid w:val="00FE5A7E"/>
    <w:rsid w:val="00FE5DE2"/>
    <w:rsid w:val="00FE5F90"/>
    <w:rsid w:val="00FE6553"/>
    <w:rsid w:val="00FE6B8B"/>
    <w:rsid w:val="00FE755A"/>
    <w:rsid w:val="00FE78BC"/>
    <w:rsid w:val="00FF0B2A"/>
    <w:rsid w:val="00FF0BAC"/>
    <w:rsid w:val="00FF0CB5"/>
    <w:rsid w:val="00FF1230"/>
    <w:rsid w:val="00FF1B1C"/>
    <w:rsid w:val="00FF1C2B"/>
    <w:rsid w:val="00FF1F5F"/>
    <w:rsid w:val="00FF2E64"/>
    <w:rsid w:val="00FF31C2"/>
    <w:rsid w:val="00FF3609"/>
    <w:rsid w:val="00FF366F"/>
    <w:rsid w:val="00FF3E42"/>
    <w:rsid w:val="00FF3F06"/>
    <w:rsid w:val="00FF4937"/>
    <w:rsid w:val="00FF4969"/>
    <w:rsid w:val="00FF4AB7"/>
    <w:rsid w:val="00FF4DDC"/>
    <w:rsid w:val="00FF51A8"/>
    <w:rsid w:val="00FF59C6"/>
    <w:rsid w:val="00FF6456"/>
    <w:rsid w:val="00FF668B"/>
    <w:rsid w:val="00FF6698"/>
    <w:rsid w:val="00FF67C5"/>
    <w:rsid w:val="00FF6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50365"/>
  <w15:docId w15:val="{83239402-3E13-4F9C-AD20-2525D68B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50781"/>
    <w:pPr>
      <w:spacing w:before="160" w:line="276" w:lineRule="auto"/>
      <w:jc w:val="both"/>
    </w:pPr>
    <w:rPr>
      <w:rFonts w:ascii="Calibri Light" w:hAnsi="Calibri Light"/>
      <w:sz w:val="24"/>
    </w:rPr>
  </w:style>
  <w:style w:type="paragraph" w:styleId="Nagwek1">
    <w:name w:val="heading 1"/>
    <w:basedOn w:val="Normalny"/>
    <w:next w:val="Normalny"/>
    <w:link w:val="Nagwek1Znak"/>
    <w:uiPriority w:val="9"/>
    <w:qFormat/>
    <w:rsid w:val="0089029A"/>
    <w:pPr>
      <w:keepNext/>
      <w:keepLines/>
      <w:pageBreakBefore/>
      <w:numPr>
        <w:numId w:val="1"/>
      </w:numPr>
      <w:spacing w:before="0" w:line="312" w:lineRule="auto"/>
      <w:jc w:val="left"/>
      <w:outlineLvl w:val="0"/>
    </w:pPr>
    <w:rPr>
      <w:rFonts w:eastAsiaTheme="majorEastAsia" w:cstheme="majorBidi"/>
      <w:spacing w:val="20"/>
      <w:sz w:val="36"/>
      <w:szCs w:val="32"/>
    </w:rPr>
  </w:style>
  <w:style w:type="paragraph" w:styleId="Nagwek2">
    <w:name w:val="heading 2"/>
    <w:basedOn w:val="Normalny"/>
    <w:next w:val="Normalny"/>
    <w:link w:val="Nagwek2Znak"/>
    <w:uiPriority w:val="9"/>
    <w:unhideWhenUsed/>
    <w:qFormat/>
    <w:rsid w:val="006E4CC9"/>
    <w:pPr>
      <w:keepNext/>
      <w:keepLines/>
      <w:numPr>
        <w:ilvl w:val="1"/>
        <w:numId w:val="1"/>
      </w:numPr>
      <w:spacing w:before="200" w:after="40"/>
      <w:jc w:val="left"/>
      <w:outlineLvl w:val="1"/>
    </w:pPr>
    <w:rPr>
      <w:rFonts w:eastAsiaTheme="majorEastAsia" w:cstheme="majorBidi"/>
      <w:caps/>
      <w:color w:val="000000" w:themeColor="text1"/>
      <w:spacing w:val="20"/>
      <w:sz w:val="26"/>
      <w:szCs w:val="26"/>
    </w:rPr>
  </w:style>
  <w:style w:type="paragraph" w:styleId="Nagwek3">
    <w:name w:val="heading 3"/>
    <w:basedOn w:val="Normalny"/>
    <w:next w:val="Normalny"/>
    <w:link w:val="Nagwek3Znak"/>
    <w:uiPriority w:val="9"/>
    <w:unhideWhenUsed/>
    <w:qFormat/>
    <w:rsid w:val="002E4529"/>
    <w:pPr>
      <w:keepNext/>
      <w:keepLines/>
      <w:numPr>
        <w:ilvl w:val="2"/>
        <w:numId w:val="1"/>
      </w:numPr>
      <w:spacing w:before="200" w:after="40"/>
      <w:ind w:left="0" w:firstLine="0"/>
      <w:jc w:val="left"/>
      <w:outlineLvl w:val="2"/>
    </w:pPr>
    <w:rPr>
      <w:rFonts w:asciiTheme="majorHAnsi" w:eastAsiaTheme="majorEastAsia" w:hAnsiTheme="majorHAnsi" w:cstheme="majorBidi"/>
      <w:caps/>
      <w:spacing w:val="20"/>
      <w:szCs w:val="24"/>
    </w:rPr>
  </w:style>
  <w:style w:type="paragraph" w:styleId="Nagwek4">
    <w:name w:val="heading 4"/>
    <w:basedOn w:val="Normalny"/>
    <w:next w:val="Normalny"/>
    <w:link w:val="Nagwek4Znak"/>
    <w:uiPriority w:val="9"/>
    <w:unhideWhenUsed/>
    <w:qFormat/>
    <w:rsid w:val="002E4529"/>
    <w:pPr>
      <w:keepNext/>
      <w:keepLines/>
      <w:numPr>
        <w:ilvl w:val="3"/>
        <w:numId w:val="1"/>
      </w:numPr>
      <w:spacing w:before="40" w:after="0"/>
      <w:ind w:left="0" w:firstLine="0"/>
      <w:outlineLvl w:val="3"/>
    </w:pPr>
    <w:rPr>
      <w:rFonts w:asciiTheme="majorHAnsi" w:eastAsiaTheme="majorEastAsia" w:hAnsiTheme="majorHAnsi" w:cstheme="majorBidi"/>
      <w:iCs/>
      <w:caps/>
      <w:spacing w:val="20"/>
    </w:rPr>
  </w:style>
  <w:style w:type="paragraph" w:styleId="Nagwek5">
    <w:name w:val="heading 5"/>
    <w:basedOn w:val="Normalny"/>
    <w:next w:val="Normalny"/>
    <w:link w:val="Nagwek5Znak"/>
    <w:uiPriority w:val="9"/>
    <w:unhideWhenUsed/>
    <w:qFormat/>
    <w:rsid w:val="002E4529"/>
    <w:pPr>
      <w:keepNext/>
      <w:keepLines/>
      <w:numPr>
        <w:ilvl w:val="4"/>
        <w:numId w:val="1"/>
      </w:numPr>
      <w:spacing w:before="40" w:after="0"/>
      <w:ind w:left="0" w:firstLine="0"/>
      <w:outlineLvl w:val="4"/>
    </w:pPr>
    <w:rPr>
      <w:rFonts w:asciiTheme="majorHAnsi" w:eastAsiaTheme="majorEastAsia" w:hAnsiTheme="majorHAnsi" w:cstheme="majorBidi"/>
      <w:caps/>
    </w:rPr>
  </w:style>
  <w:style w:type="paragraph" w:styleId="Nagwek6">
    <w:name w:val="heading 6"/>
    <w:basedOn w:val="Normalny"/>
    <w:next w:val="Normalny"/>
    <w:link w:val="Nagwek6Znak"/>
    <w:uiPriority w:val="9"/>
    <w:unhideWhenUsed/>
    <w:qFormat/>
    <w:rsid w:val="006C4A06"/>
    <w:pPr>
      <w:keepNext/>
      <w:keepLines/>
      <w:spacing w:before="40" w:after="0"/>
      <w:outlineLvl w:val="5"/>
    </w:pPr>
    <w:rPr>
      <w:rFonts w:asciiTheme="majorHAnsi" w:eastAsiaTheme="majorEastAsia" w:hAnsiTheme="majorHAnsi" w:cstheme="majorBidi"/>
      <w:color w:val="575757" w:themeColor="accent1" w:themeShade="7F"/>
    </w:rPr>
  </w:style>
  <w:style w:type="paragraph" w:styleId="Nagwek7">
    <w:name w:val="heading 7"/>
    <w:basedOn w:val="Nagwek6"/>
    <w:next w:val="Normalny"/>
    <w:link w:val="Nagwek7Znak"/>
    <w:uiPriority w:val="9"/>
    <w:unhideWhenUsed/>
    <w:qFormat/>
    <w:rsid w:val="004C11DA"/>
    <w:pPr>
      <w:outlineLvl w:val="6"/>
    </w:pPr>
  </w:style>
  <w:style w:type="paragraph" w:styleId="Nagwek8">
    <w:name w:val="heading 8"/>
    <w:basedOn w:val="Nagwek7"/>
    <w:next w:val="Normalny"/>
    <w:link w:val="Nagwek8Znak"/>
    <w:uiPriority w:val="9"/>
    <w:unhideWhenUsed/>
    <w:qFormat/>
    <w:rsid w:val="004C11DA"/>
    <w:pPr>
      <w:outlineLvl w:val="7"/>
    </w:pPr>
  </w:style>
  <w:style w:type="paragraph" w:styleId="Nagwek9">
    <w:name w:val="heading 9"/>
    <w:basedOn w:val="Nagwek8"/>
    <w:next w:val="Normalny"/>
    <w:link w:val="Nagwek9Znak"/>
    <w:uiPriority w:val="9"/>
    <w:unhideWhenUsed/>
    <w:qFormat/>
    <w:rsid w:val="004C11DA"/>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9029A"/>
    <w:rPr>
      <w:rFonts w:ascii="Calibri Light" w:eastAsiaTheme="majorEastAsia" w:hAnsi="Calibri Light" w:cstheme="majorBidi"/>
      <w:spacing w:val="20"/>
      <w:sz w:val="36"/>
      <w:szCs w:val="32"/>
    </w:rPr>
  </w:style>
  <w:style w:type="character" w:customStyle="1" w:styleId="Nagwek2Znak">
    <w:name w:val="Nagłówek 2 Znak"/>
    <w:basedOn w:val="Domylnaczcionkaakapitu"/>
    <w:link w:val="Nagwek2"/>
    <w:uiPriority w:val="9"/>
    <w:rsid w:val="006E4CC9"/>
    <w:rPr>
      <w:rFonts w:ascii="Calibri Light" w:eastAsiaTheme="majorEastAsia" w:hAnsi="Calibri Light" w:cstheme="majorBidi"/>
      <w:caps/>
      <w:color w:val="000000" w:themeColor="text1"/>
      <w:spacing w:val="20"/>
      <w:sz w:val="26"/>
      <w:szCs w:val="26"/>
    </w:rPr>
  </w:style>
  <w:style w:type="character" w:customStyle="1" w:styleId="Nagwek3Znak">
    <w:name w:val="Nagłówek 3 Znak"/>
    <w:basedOn w:val="Domylnaczcionkaakapitu"/>
    <w:link w:val="Nagwek3"/>
    <w:uiPriority w:val="9"/>
    <w:rsid w:val="002E4529"/>
    <w:rPr>
      <w:rFonts w:asciiTheme="majorHAnsi" w:eastAsiaTheme="majorEastAsia" w:hAnsiTheme="majorHAnsi" w:cstheme="majorBidi"/>
      <w:caps/>
      <w:spacing w:val="20"/>
      <w:sz w:val="24"/>
      <w:szCs w:val="24"/>
    </w:rPr>
  </w:style>
  <w:style w:type="character" w:customStyle="1" w:styleId="Nagwek4Znak">
    <w:name w:val="Nagłówek 4 Znak"/>
    <w:basedOn w:val="Domylnaczcionkaakapitu"/>
    <w:link w:val="Nagwek4"/>
    <w:uiPriority w:val="9"/>
    <w:rsid w:val="002E4529"/>
    <w:rPr>
      <w:rFonts w:asciiTheme="majorHAnsi" w:eastAsiaTheme="majorEastAsia" w:hAnsiTheme="majorHAnsi" w:cstheme="majorBidi"/>
      <w:iCs/>
      <w:caps/>
      <w:spacing w:val="20"/>
      <w:sz w:val="24"/>
    </w:rPr>
  </w:style>
  <w:style w:type="character" w:customStyle="1" w:styleId="Nagwek5Znak">
    <w:name w:val="Nagłówek 5 Znak"/>
    <w:basedOn w:val="Domylnaczcionkaakapitu"/>
    <w:link w:val="Nagwek5"/>
    <w:uiPriority w:val="9"/>
    <w:rsid w:val="002E4529"/>
    <w:rPr>
      <w:rFonts w:asciiTheme="majorHAnsi" w:eastAsiaTheme="majorEastAsia" w:hAnsiTheme="majorHAnsi" w:cstheme="majorBidi"/>
      <w:caps/>
      <w:sz w:val="24"/>
    </w:rPr>
  </w:style>
  <w:style w:type="character" w:customStyle="1" w:styleId="Nagwek6Znak">
    <w:name w:val="Nagłówek 6 Znak"/>
    <w:basedOn w:val="Domylnaczcionkaakapitu"/>
    <w:link w:val="Nagwek6"/>
    <w:uiPriority w:val="9"/>
    <w:rsid w:val="006C4A06"/>
    <w:rPr>
      <w:rFonts w:asciiTheme="majorHAnsi" w:eastAsiaTheme="majorEastAsia" w:hAnsiTheme="majorHAnsi" w:cstheme="majorBidi"/>
      <w:color w:val="575757" w:themeColor="accent1" w:themeShade="7F"/>
    </w:rPr>
  </w:style>
  <w:style w:type="character" w:customStyle="1" w:styleId="Nagwek7Znak">
    <w:name w:val="Nagłówek 7 Znak"/>
    <w:basedOn w:val="Domylnaczcionkaakapitu"/>
    <w:link w:val="Nagwek7"/>
    <w:uiPriority w:val="9"/>
    <w:rsid w:val="004C11DA"/>
    <w:rPr>
      <w:rFonts w:asciiTheme="majorHAnsi" w:eastAsiaTheme="majorEastAsia" w:hAnsiTheme="majorHAnsi" w:cstheme="majorBidi"/>
      <w:color w:val="575757" w:themeColor="accent1" w:themeShade="7F"/>
      <w:sz w:val="20"/>
    </w:rPr>
  </w:style>
  <w:style w:type="character" w:customStyle="1" w:styleId="Nagwek8Znak">
    <w:name w:val="Nagłówek 8 Znak"/>
    <w:basedOn w:val="Domylnaczcionkaakapitu"/>
    <w:link w:val="Nagwek8"/>
    <w:uiPriority w:val="9"/>
    <w:rsid w:val="004C11DA"/>
    <w:rPr>
      <w:rFonts w:asciiTheme="majorHAnsi" w:eastAsiaTheme="majorEastAsia" w:hAnsiTheme="majorHAnsi" w:cstheme="majorBidi"/>
      <w:color w:val="575757" w:themeColor="accent1" w:themeShade="7F"/>
      <w:sz w:val="20"/>
    </w:rPr>
  </w:style>
  <w:style w:type="character" w:customStyle="1" w:styleId="Nagwek9Znak">
    <w:name w:val="Nagłówek 9 Znak"/>
    <w:basedOn w:val="Domylnaczcionkaakapitu"/>
    <w:link w:val="Nagwek9"/>
    <w:uiPriority w:val="9"/>
    <w:rsid w:val="004C11DA"/>
    <w:rPr>
      <w:rFonts w:asciiTheme="majorHAnsi" w:eastAsiaTheme="majorEastAsia" w:hAnsiTheme="majorHAnsi" w:cstheme="majorBidi"/>
      <w:color w:val="575757" w:themeColor="accent1" w:themeShade="7F"/>
      <w:sz w:val="20"/>
    </w:rPr>
  </w:style>
  <w:style w:type="paragraph" w:styleId="Bezodstpw">
    <w:name w:val="No Spacing"/>
    <w:link w:val="BezodstpwZnak"/>
    <w:uiPriority w:val="1"/>
    <w:qFormat/>
    <w:rsid w:val="00140D1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40D18"/>
    <w:rPr>
      <w:rFonts w:eastAsiaTheme="minorEastAsia"/>
      <w:lang w:eastAsia="pl-PL"/>
    </w:rPr>
  </w:style>
  <w:style w:type="table" w:styleId="Tabela-Siatka">
    <w:name w:val="Table Grid"/>
    <w:basedOn w:val="Standardowy"/>
    <w:uiPriority w:val="39"/>
    <w:rsid w:val="00CA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9029A"/>
    <w:pPr>
      <w:spacing w:line="312" w:lineRule="auto"/>
      <w:ind w:right="1134"/>
      <w:contextualSpacing/>
      <w:jc w:val="left"/>
    </w:pPr>
    <w:rPr>
      <w:rFonts w:eastAsiaTheme="majorEastAsia" w:cstheme="majorBidi"/>
      <w:spacing w:val="10"/>
      <w:kern w:val="28"/>
      <w:sz w:val="44"/>
      <w:szCs w:val="56"/>
    </w:rPr>
  </w:style>
  <w:style w:type="character" w:customStyle="1" w:styleId="TytuZnak">
    <w:name w:val="Tytuł Znak"/>
    <w:basedOn w:val="Domylnaczcionkaakapitu"/>
    <w:link w:val="Tytu"/>
    <w:uiPriority w:val="10"/>
    <w:rsid w:val="0089029A"/>
    <w:rPr>
      <w:rFonts w:ascii="Calibri Light" w:eastAsiaTheme="majorEastAsia" w:hAnsi="Calibri Light" w:cstheme="majorBidi"/>
      <w:spacing w:val="10"/>
      <w:kern w:val="28"/>
      <w:sz w:val="44"/>
      <w:szCs w:val="56"/>
    </w:rPr>
  </w:style>
  <w:style w:type="paragraph" w:styleId="Podtytu">
    <w:name w:val="Subtitle"/>
    <w:basedOn w:val="Normalny"/>
    <w:next w:val="Normalny"/>
    <w:link w:val="PodtytuZnak"/>
    <w:uiPriority w:val="11"/>
    <w:qFormat/>
    <w:rsid w:val="007233B1"/>
    <w:pPr>
      <w:numPr>
        <w:ilvl w:val="1"/>
      </w:numPr>
      <w:jc w:val="left"/>
    </w:pPr>
    <w:rPr>
      <w:rFonts w:eastAsiaTheme="minorEastAsia"/>
      <w:spacing w:val="15"/>
    </w:rPr>
  </w:style>
  <w:style w:type="character" w:customStyle="1" w:styleId="PodtytuZnak">
    <w:name w:val="Podtytuł Znak"/>
    <w:basedOn w:val="Domylnaczcionkaakapitu"/>
    <w:link w:val="Podtytu"/>
    <w:uiPriority w:val="11"/>
    <w:rsid w:val="007233B1"/>
    <w:rPr>
      <w:rFonts w:ascii="Calibri Light" w:eastAsiaTheme="minorEastAsia" w:hAnsi="Calibri Light"/>
      <w:spacing w:val="15"/>
      <w:sz w:val="24"/>
    </w:rPr>
  </w:style>
  <w:style w:type="character" w:styleId="Tekstzastpczy">
    <w:name w:val="Placeholder Text"/>
    <w:basedOn w:val="Domylnaczcionkaakapitu"/>
    <w:uiPriority w:val="99"/>
    <w:semiHidden/>
    <w:rsid w:val="00DC1693"/>
    <w:rPr>
      <w:color w:val="808080"/>
    </w:rPr>
  </w:style>
  <w:style w:type="paragraph" w:styleId="Nagwek">
    <w:name w:val="header"/>
    <w:basedOn w:val="Normalny"/>
    <w:link w:val="NagwekZnak"/>
    <w:uiPriority w:val="99"/>
    <w:unhideWhenUsed/>
    <w:rsid w:val="00E944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4482"/>
  </w:style>
  <w:style w:type="paragraph" w:styleId="Stopka">
    <w:name w:val="footer"/>
    <w:basedOn w:val="Normalny"/>
    <w:link w:val="StopkaZnak"/>
    <w:uiPriority w:val="99"/>
    <w:unhideWhenUsed/>
    <w:rsid w:val="00E944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4482"/>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OOTNOTES"/>
    <w:basedOn w:val="Normalny"/>
    <w:link w:val="TekstprzypisudolnegoZnak"/>
    <w:uiPriority w:val="99"/>
    <w:unhideWhenUsed/>
    <w:qFormat/>
    <w:rsid w:val="006A249A"/>
    <w:pPr>
      <w:spacing w:before="0" w:after="80" w:line="240" w:lineRule="auto"/>
      <w:jc w:val="left"/>
    </w:pPr>
    <w:rPr>
      <w:rFonts w:asciiTheme="majorHAnsi" w:hAnsiTheme="majorHAnsi"/>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OOTNOTES Znak"/>
    <w:basedOn w:val="Domylnaczcionkaakapitu"/>
    <w:link w:val="Tekstprzypisudolnego"/>
    <w:uiPriority w:val="99"/>
    <w:rsid w:val="00CD2A0F"/>
    <w:rPr>
      <w:rFonts w:asciiTheme="majorHAnsi" w:hAnsiTheme="majorHAnsi"/>
      <w:sz w:val="20"/>
      <w:szCs w:val="20"/>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 Exposant 3 Point,number,16 Poi"/>
    <w:basedOn w:val="Domylnaczcionkaakapitu"/>
    <w:uiPriority w:val="99"/>
    <w:unhideWhenUsed/>
    <w:rsid w:val="00B45827"/>
    <w:rPr>
      <w:vertAlign w:val="superscript"/>
    </w:rPr>
  </w:style>
  <w:style w:type="paragraph" w:styleId="Nagwekspisutreci">
    <w:name w:val="TOC Heading"/>
    <w:basedOn w:val="Nagwek1"/>
    <w:next w:val="Normalny"/>
    <w:uiPriority w:val="39"/>
    <w:unhideWhenUsed/>
    <w:qFormat/>
    <w:rsid w:val="0077367D"/>
    <w:pPr>
      <w:pageBreakBefore w:val="0"/>
      <w:numPr>
        <w:numId w:val="0"/>
      </w:numPr>
      <w:outlineLvl w:val="9"/>
    </w:pPr>
    <w:rPr>
      <w:lang w:eastAsia="pl-PL"/>
    </w:rPr>
  </w:style>
  <w:style w:type="paragraph" w:styleId="Spistreci1">
    <w:name w:val="toc 1"/>
    <w:basedOn w:val="Normalny"/>
    <w:next w:val="Normalny"/>
    <w:autoRedefine/>
    <w:uiPriority w:val="39"/>
    <w:unhideWhenUsed/>
    <w:rsid w:val="00FB4F13"/>
    <w:pPr>
      <w:tabs>
        <w:tab w:val="left" w:pos="440"/>
        <w:tab w:val="right" w:leader="dot" w:pos="9061"/>
      </w:tabs>
      <w:spacing w:after="100"/>
      <w:jc w:val="left"/>
    </w:pPr>
  </w:style>
  <w:style w:type="paragraph" w:styleId="Spistreci2">
    <w:name w:val="toc 2"/>
    <w:basedOn w:val="Normalny"/>
    <w:next w:val="Normalny"/>
    <w:autoRedefine/>
    <w:uiPriority w:val="39"/>
    <w:unhideWhenUsed/>
    <w:rsid w:val="00D70DE3"/>
    <w:pPr>
      <w:tabs>
        <w:tab w:val="left" w:pos="880"/>
        <w:tab w:val="right" w:leader="dot" w:pos="9061"/>
      </w:tabs>
      <w:spacing w:after="100"/>
      <w:jc w:val="left"/>
    </w:pPr>
  </w:style>
  <w:style w:type="paragraph" w:styleId="Spistreci3">
    <w:name w:val="toc 3"/>
    <w:basedOn w:val="Normalny"/>
    <w:next w:val="Normalny"/>
    <w:autoRedefine/>
    <w:uiPriority w:val="39"/>
    <w:unhideWhenUsed/>
    <w:rsid w:val="00D96C79"/>
    <w:pPr>
      <w:spacing w:after="100"/>
      <w:ind w:left="440"/>
    </w:pPr>
  </w:style>
  <w:style w:type="character" w:styleId="Hipercze">
    <w:name w:val="Hyperlink"/>
    <w:basedOn w:val="Domylnaczcionkaakapitu"/>
    <w:uiPriority w:val="99"/>
    <w:unhideWhenUsed/>
    <w:rsid w:val="00D96C79"/>
    <w:rPr>
      <w:color w:val="0563C1" w:themeColor="hyperlink"/>
      <w:u w:val="single"/>
    </w:rPr>
  </w:style>
  <w:style w:type="paragraph" w:styleId="Cytat">
    <w:name w:val="Quote"/>
    <w:basedOn w:val="Normalny"/>
    <w:next w:val="Normalny"/>
    <w:link w:val="CytatZnak"/>
    <w:uiPriority w:val="29"/>
    <w:qFormat/>
    <w:rsid w:val="00B344B9"/>
    <w:pPr>
      <w:spacing w:before="80" w:after="80"/>
    </w:pPr>
    <w:rPr>
      <w:rFonts w:asciiTheme="majorHAnsi" w:hAnsiTheme="majorHAnsi"/>
      <w:b/>
    </w:rPr>
  </w:style>
  <w:style w:type="character" w:customStyle="1" w:styleId="CytatZnak">
    <w:name w:val="Cytat Znak"/>
    <w:basedOn w:val="Domylnaczcionkaakapitu"/>
    <w:link w:val="Cytat"/>
    <w:uiPriority w:val="29"/>
    <w:rsid w:val="00B344B9"/>
    <w:rPr>
      <w:rFonts w:asciiTheme="majorHAnsi" w:hAnsiTheme="majorHAnsi"/>
      <w:b/>
    </w:rPr>
  </w:style>
  <w:style w:type="table" w:customStyle="1" w:styleId="WolanskiCorpTabela">
    <w:name w:val="Wolanski Corp Tabela"/>
    <w:basedOn w:val="Standardowy"/>
    <w:uiPriority w:val="99"/>
    <w:rsid w:val="006E4CC9"/>
    <w:pPr>
      <w:tabs>
        <w:tab w:val="left" w:pos="284"/>
      </w:tabs>
      <w:spacing w:after="120" w:line="240" w:lineRule="auto"/>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band1Horz">
      <w:tblPr/>
      <w:tcPr>
        <w:shd w:val="clear" w:color="auto" w:fill="EFEFEF" w:themeFill="background2"/>
      </w:tcPr>
    </w:tblStylePr>
  </w:style>
  <w:style w:type="paragraph" w:styleId="Akapitzlist">
    <w:name w:val="List Paragraph"/>
    <w:aliases w:val="maz_wyliczenie,opis dzialania,K-P_odwolanie,A_wyliczenie,Akapit z listą5CxSpLast,Akapit z list15CxSpLast,Tekst punktowanie,Numerowanie,BulletC,Akapit z listą 1,Akapit z listą5,Akapit z listą BS,Kolorowa lista — akcent 11,L1,CW_Lista,lp1"/>
    <w:basedOn w:val="Normalny"/>
    <w:link w:val="AkapitzlistZnak"/>
    <w:uiPriority w:val="34"/>
    <w:qFormat/>
    <w:rsid w:val="008A70F5"/>
    <w:pPr>
      <w:ind w:left="720"/>
      <w:contextualSpacing/>
    </w:pPr>
  </w:style>
  <w:style w:type="paragraph" w:styleId="Legenda">
    <w:name w:val="caption"/>
    <w:aliases w:val="Tytuł tabeli"/>
    <w:basedOn w:val="Normalny"/>
    <w:next w:val="Normalny"/>
    <w:link w:val="LegendaZnak"/>
    <w:uiPriority w:val="35"/>
    <w:unhideWhenUsed/>
    <w:qFormat/>
    <w:rsid w:val="006E4CC9"/>
    <w:pPr>
      <w:keepNext/>
      <w:spacing w:line="240" w:lineRule="auto"/>
    </w:pPr>
    <w:rPr>
      <w:iCs/>
      <w:color w:val="000000" w:themeColor="text1"/>
      <w:szCs w:val="18"/>
    </w:rPr>
  </w:style>
  <w:style w:type="character" w:customStyle="1" w:styleId="LegendaZnak">
    <w:name w:val="Legenda Znak"/>
    <w:aliases w:val="Tytuł tabeli Znak"/>
    <w:link w:val="Legenda"/>
    <w:uiPriority w:val="35"/>
    <w:rsid w:val="006E4CC9"/>
    <w:rPr>
      <w:rFonts w:ascii="Calibri Light" w:hAnsi="Calibri Light"/>
      <w:iCs/>
      <w:color w:val="000000" w:themeColor="text1"/>
      <w:sz w:val="24"/>
      <w:szCs w:val="18"/>
    </w:rPr>
  </w:style>
  <w:style w:type="paragraph" w:styleId="Podpis">
    <w:name w:val="Signature"/>
    <w:basedOn w:val="Legenda"/>
    <w:link w:val="PodpisZnak"/>
    <w:uiPriority w:val="99"/>
    <w:unhideWhenUsed/>
    <w:rsid w:val="00AE283A"/>
    <w:pPr>
      <w:keepNext w:val="0"/>
    </w:pPr>
  </w:style>
  <w:style w:type="character" w:customStyle="1" w:styleId="PodpisZnak">
    <w:name w:val="Podpis Znak"/>
    <w:basedOn w:val="Domylnaczcionkaakapitu"/>
    <w:link w:val="Podpis"/>
    <w:uiPriority w:val="99"/>
    <w:rsid w:val="00AE283A"/>
    <w:rPr>
      <w:rFonts w:asciiTheme="majorHAnsi" w:hAnsiTheme="majorHAnsi"/>
      <w:iCs/>
      <w:color w:val="000000" w:themeColor="text1"/>
      <w:sz w:val="20"/>
      <w:szCs w:val="18"/>
    </w:rPr>
  </w:style>
  <w:style w:type="paragraph" w:styleId="Tekstdymka">
    <w:name w:val="Balloon Text"/>
    <w:basedOn w:val="Normalny"/>
    <w:link w:val="TekstdymkaZnak"/>
    <w:uiPriority w:val="99"/>
    <w:semiHidden/>
    <w:unhideWhenUsed/>
    <w:rsid w:val="001C40B4"/>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40B4"/>
    <w:rPr>
      <w:rFonts w:ascii="Segoe UI" w:hAnsi="Segoe UI" w:cs="Segoe UI"/>
      <w:sz w:val="18"/>
      <w:szCs w:val="18"/>
    </w:rPr>
  </w:style>
  <w:style w:type="character" w:styleId="Odwoaniedokomentarza">
    <w:name w:val="annotation reference"/>
    <w:basedOn w:val="Domylnaczcionkaakapitu"/>
    <w:uiPriority w:val="99"/>
    <w:semiHidden/>
    <w:unhideWhenUsed/>
    <w:rsid w:val="00252E73"/>
    <w:rPr>
      <w:sz w:val="16"/>
      <w:szCs w:val="16"/>
    </w:rPr>
  </w:style>
  <w:style w:type="paragraph" w:styleId="Tekstkomentarza">
    <w:name w:val="annotation text"/>
    <w:basedOn w:val="Normalny"/>
    <w:link w:val="TekstkomentarzaZnak"/>
    <w:uiPriority w:val="99"/>
    <w:unhideWhenUsed/>
    <w:rsid w:val="00252E73"/>
    <w:pPr>
      <w:spacing w:line="240" w:lineRule="auto"/>
    </w:pPr>
    <w:rPr>
      <w:szCs w:val="20"/>
    </w:rPr>
  </w:style>
  <w:style w:type="character" w:customStyle="1" w:styleId="TekstkomentarzaZnak">
    <w:name w:val="Tekst komentarza Znak"/>
    <w:basedOn w:val="Domylnaczcionkaakapitu"/>
    <w:link w:val="Tekstkomentarza"/>
    <w:uiPriority w:val="99"/>
    <w:rsid w:val="00252E73"/>
    <w:rPr>
      <w:sz w:val="20"/>
      <w:szCs w:val="20"/>
    </w:rPr>
  </w:style>
  <w:style w:type="paragraph" w:styleId="Tematkomentarza">
    <w:name w:val="annotation subject"/>
    <w:basedOn w:val="Tekstkomentarza"/>
    <w:next w:val="Tekstkomentarza"/>
    <w:link w:val="TematkomentarzaZnak"/>
    <w:uiPriority w:val="99"/>
    <w:semiHidden/>
    <w:unhideWhenUsed/>
    <w:rsid w:val="00252E73"/>
    <w:rPr>
      <w:b/>
      <w:bCs/>
    </w:rPr>
  </w:style>
  <w:style w:type="character" w:customStyle="1" w:styleId="TematkomentarzaZnak">
    <w:name w:val="Temat komentarza Znak"/>
    <w:basedOn w:val="TekstkomentarzaZnak"/>
    <w:link w:val="Tematkomentarza"/>
    <w:uiPriority w:val="99"/>
    <w:semiHidden/>
    <w:rsid w:val="00252E73"/>
    <w:rPr>
      <w:b/>
      <w:bCs/>
      <w:sz w:val="20"/>
      <w:szCs w:val="20"/>
    </w:rPr>
  </w:style>
  <w:style w:type="paragraph" w:styleId="Tekstprzypisukocowego">
    <w:name w:val="endnote text"/>
    <w:basedOn w:val="Normalny"/>
    <w:link w:val="TekstprzypisukocowegoZnak"/>
    <w:uiPriority w:val="99"/>
    <w:semiHidden/>
    <w:unhideWhenUsed/>
    <w:rsid w:val="00567D57"/>
    <w:pPr>
      <w:spacing w:before="0"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567D57"/>
    <w:rPr>
      <w:sz w:val="20"/>
      <w:szCs w:val="20"/>
    </w:rPr>
  </w:style>
  <w:style w:type="character" w:styleId="Odwoanieprzypisukocowego">
    <w:name w:val="endnote reference"/>
    <w:basedOn w:val="Domylnaczcionkaakapitu"/>
    <w:uiPriority w:val="99"/>
    <w:semiHidden/>
    <w:unhideWhenUsed/>
    <w:rsid w:val="00567D57"/>
    <w:rPr>
      <w:vertAlign w:val="superscript"/>
    </w:rPr>
  </w:style>
  <w:style w:type="character" w:customStyle="1" w:styleId="Brak">
    <w:name w:val="Brak"/>
    <w:rsid w:val="00B0276C"/>
  </w:style>
  <w:style w:type="paragraph" w:styleId="Poprawka">
    <w:name w:val="Revision"/>
    <w:hidden/>
    <w:uiPriority w:val="99"/>
    <w:semiHidden/>
    <w:rsid w:val="0013466E"/>
    <w:pPr>
      <w:spacing w:after="0" w:line="240" w:lineRule="auto"/>
    </w:pPr>
  </w:style>
  <w:style w:type="character" w:styleId="UyteHipercze">
    <w:name w:val="FollowedHyperlink"/>
    <w:basedOn w:val="Domylnaczcionkaakapitu"/>
    <w:uiPriority w:val="99"/>
    <w:semiHidden/>
    <w:unhideWhenUsed/>
    <w:rsid w:val="00F765E2"/>
    <w:rPr>
      <w:color w:val="954F72" w:themeColor="followedHyperlink"/>
      <w:u w:val="single"/>
    </w:rPr>
  </w:style>
  <w:style w:type="character" w:customStyle="1" w:styleId="Nierozpoznanawzmianka1">
    <w:name w:val="Nierozpoznana wzmianka1"/>
    <w:basedOn w:val="Domylnaczcionkaakapitu"/>
    <w:uiPriority w:val="99"/>
    <w:semiHidden/>
    <w:unhideWhenUsed/>
    <w:rsid w:val="00B7391B"/>
    <w:rPr>
      <w:color w:val="808080"/>
      <w:shd w:val="clear" w:color="auto" w:fill="E6E6E6"/>
    </w:rPr>
  </w:style>
  <w:style w:type="character" w:customStyle="1" w:styleId="Nierozpoznanawzmianka2">
    <w:name w:val="Nierozpoznana wzmianka2"/>
    <w:basedOn w:val="Domylnaczcionkaakapitu"/>
    <w:uiPriority w:val="99"/>
    <w:semiHidden/>
    <w:unhideWhenUsed/>
    <w:rsid w:val="00273DAC"/>
    <w:rPr>
      <w:color w:val="808080"/>
      <w:shd w:val="clear" w:color="auto" w:fill="E6E6E6"/>
    </w:rPr>
  </w:style>
  <w:style w:type="paragraph" w:styleId="Spistreci4">
    <w:name w:val="toc 4"/>
    <w:basedOn w:val="Normalny"/>
    <w:next w:val="Normalny"/>
    <w:autoRedefine/>
    <w:uiPriority w:val="39"/>
    <w:unhideWhenUsed/>
    <w:rsid w:val="004B5FCB"/>
    <w:pPr>
      <w:spacing w:before="0" w:after="100" w:line="259" w:lineRule="auto"/>
      <w:ind w:left="660"/>
      <w:jc w:val="left"/>
    </w:pPr>
    <w:rPr>
      <w:rFonts w:eastAsiaTheme="minorEastAsia"/>
      <w:lang w:eastAsia="pl-PL"/>
    </w:rPr>
  </w:style>
  <w:style w:type="paragraph" w:styleId="Spistreci5">
    <w:name w:val="toc 5"/>
    <w:basedOn w:val="Normalny"/>
    <w:next w:val="Normalny"/>
    <w:autoRedefine/>
    <w:uiPriority w:val="39"/>
    <w:unhideWhenUsed/>
    <w:rsid w:val="004B5FCB"/>
    <w:pPr>
      <w:spacing w:before="0" w:after="100" w:line="259" w:lineRule="auto"/>
      <w:ind w:left="880"/>
      <w:jc w:val="left"/>
    </w:pPr>
    <w:rPr>
      <w:rFonts w:eastAsiaTheme="minorEastAsia"/>
      <w:lang w:eastAsia="pl-PL"/>
    </w:rPr>
  </w:style>
  <w:style w:type="paragraph" w:styleId="Spistreci6">
    <w:name w:val="toc 6"/>
    <w:basedOn w:val="Normalny"/>
    <w:next w:val="Normalny"/>
    <w:autoRedefine/>
    <w:uiPriority w:val="39"/>
    <w:unhideWhenUsed/>
    <w:rsid w:val="004B5FCB"/>
    <w:pPr>
      <w:spacing w:before="0" w:after="100" w:line="259" w:lineRule="auto"/>
      <w:ind w:left="1100"/>
      <w:jc w:val="left"/>
    </w:pPr>
    <w:rPr>
      <w:rFonts w:eastAsiaTheme="minorEastAsia"/>
      <w:lang w:eastAsia="pl-PL"/>
    </w:rPr>
  </w:style>
  <w:style w:type="paragraph" w:styleId="Spistreci7">
    <w:name w:val="toc 7"/>
    <w:basedOn w:val="Normalny"/>
    <w:next w:val="Normalny"/>
    <w:autoRedefine/>
    <w:uiPriority w:val="39"/>
    <w:unhideWhenUsed/>
    <w:rsid w:val="004B5FCB"/>
    <w:pPr>
      <w:spacing w:before="0" w:after="100" w:line="259" w:lineRule="auto"/>
      <w:ind w:left="1320"/>
      <w:jc w:val="left"/>
    </w:pPr>
    <w:rPr>
      <w:rFonts w:eastAsiaTheme="minorEastAsia"/>
      <w:lang w:eastAsia="pl-PL"/>
    </w:rPr>
  </w:style>
  <w:style w:type="paragraph" w:styleId="Spistreci8">
    <w:name w:val="toc 8"/>
    <w:basedOn w:val="Normalny"/>
    <w:next w:val="Normalny"/>
    <w:autoRedefine/>
    <w:uiPriority w:val="39"/>
    <w:unhideWhenUsed/>
    <w:rsid w:val="004B5FCB"/>
    <w:pPr>
      <w:spacing w:before="0" w:after="100" w:line="259" w:lineRule="auto"/>
      <w:ind w:left="1540"/>
      <w:jc w:val="left"/>
    </w:pPr>
    <w:rPr>
      <w:rFonts w:eastAsiaTheme="minorEastAsia"/>
      <w:lang w:eastAsia="pl-PL"/>
    </w:rPr>
  </w:style>
  <w:style w:type="paragraph" w:styleId="Spistreci9">
    <w:name w:val="toc 9"/>
    <w:basedOn w:val="Normalny"/>
    <w:next w:val="Normalny"/>
    <w:autoRedefine/>
    <w:uiPriority w:val="39"/>
    <w:unhideWhenUsed/>
    <w:rsid w:val="004B5FCB"/>
    <w:pPr>
      <w:spacing w:before="0" w:after="100" w:line="259" w:lineRule="auto"/>
      <w:ind w:left="1760"/>
      <w:jc w:val="left"/>
    </w:pPr>
    <w:rPr>
      <w:rFonts w:eastAsiaTheme="minorEastAsia"/>
      <w:lang w:eastAsia="pl-PL"/>
    </w:rPr>
  </w:style>
  <w:style w:type="character" w:customStyle="1" w:styleId="Nierozpoznanawzmianka3">
    <w:name w:val="Nierozpoznana wzmianka3"/>
    <w:basedOn w:val="Domylnaczcionkaakapitu"/>
    <w:uiPriority w:val="99"/>
    <w:semiHidden/>
    <w:unhideWhenUsed/>
    <w:rsid w:val="00A433DB"/>
    <w:rPr>
      <w:color w:val="808080"/>
      <w:shd w:val="clear" w:color="auto" w:fill="E6E6E6"/>
    </w:rPr>
  </w:style>
  <w:style w:type="table" w:customStyle="1" w:styleId="Box">
    <w:name w:val="Box"/>
    <w:basedOn w:val="Standardowy"/>
    <w:uiPriority w:val="99"/>
    <w:rsid w:val="001703EA"/>
    <w:pPr>
      <w:spacing w:after="0" w:line="240" w:lineRule="auto"/>
      <w:jc w:val="center"/>
    </w:pPr>
    <w:rPr>
      <w:rFonts w:asciiTheme="majorHAnsi" w:hAnsiTheme="majorHAnsi"/>
      <w:b/>
      <w:sz w:val="20"/>
    </w:rPr>
    <w:tblPr>
      <w:tblInd w:w="-992" w:type="dxa"/>
      <w:tblBorders>
        <w:top w:val="single" w:sz="12" w:space="0" w:color="FFC800" w:themeColor="accent2"/>
        <w:bottom w:val="single" w:sz="12" w:space="0" w:color="FFC800" w:themeColor="accent2"/>
        <w:insideH w:val="single" w:sz="12" w:space="0" w:color="FFC800" w:themeColor="accent2"/>
      </w:tblBorders>
      <w:tblCellMar>
        <w:left w:w="0" w:type="dxa"/>
        <w:right w:w="0" w:type="dxa"/>
      </w:tblCellMar>
    </w:tblPr>
    <w:tcPr>
      <w:vAlign w:val="center"/>
    </w:tcPr>
    <w:tblStylePr w:type="firstRow">
      <w:pPr>
        <w:wordWrap/>
        <w:jc w:val="both"/>
      </w:pPr>
      <w:rPr>
        <w:rFonts w:asciiTheme="majorHAnsi" w:hAnsiTheme="majorHAnsi"/>
        <w:b w:val="0"/>
      </w:rPr>
      <w:tblPr/>
      <w:tcPr>
        <w:vAlign w:val="center"/>
      </w:tcPr>
    </w:tblStylePr>
    <w:tblStylePr w:type="firstCol">
      <w:pPr>
        <w:wordWrap/>
        <w:spacing w:beforeLines="0" w:before="120" w:beforeAutospacing="0" w:afterLines="0" w:after="120" w:afterAutospacing="0"/>
        <w:contextualSpacing w:val="0"/>
        <w:jc w:val="center"/>
      </w:pPr>
      <w:rPr>
        <w:rFonts w:asciiTheme="majorHAnsi" w:hAnsiTheme="majorHAnsi"/>
        <w:b/>
        <w:color w:val="FFC800" w:themeColor="accent2"/>
        <w:sz w:val="72"/>
      </w:rPr>
      <w:tblPr/>
      <w:tcPr>
        <w:vAlign w:val="center"/>
      </w:tcPr>
    </w:tblStylePr>
    <w:tblStylePr w:type="lastCol">
      <w:pPr>
        <w:wordWrap/>
        <w:spacing w:afterLines="0" w:after="120" w:afterAutospacing="0"/>
        <w:ind w:rightChars="0" w:right="227"/>
        <w:contextualSpacing w:val="0"/>
        <w:mirrorIndents w:val="0"/>
        <w:jc w:val="left"/>
      </w:pPr>
      <w:tblPr/>
      <w:tcPr>
        <w:vAlign w:val="center"/>
      </w:tcPr>
    </w:tblStylePr>
  </w:style>
  <w:style w:type="table" w:customStyle="1" w:styleId="Tekstdwukolumnowy">
    <w:name w:val="Tekst dwukolumnowy"/>
    <w:basedOn w:val="Standardowy"/>
    <w:uiPriority w:val="99"/>
    <w:rsid w:val="00FA539E"/>
    <w:pPr>
      <w:spacing w:after="0" w:line="240" w:lineRule="auto"/>
      <w:jc w:val="both"/>
    </w:pPr>
    <w:tblPr>
      <w:tblCellMar>
        <w:left w:w="0" w:type="dxa"/>
        <w:right w:w="0" w:type="dxa"/>
      </w:tblCellMar>
    </w:tblPr>
    <w:tblStylePr w:type="firstCol">
      <w:tblPr/>
      <w:tcPr>
        <w:tcMar>
          <w:top w:w="0" w:type="nil"/>
          <w:left w:w="0" w:type="nil"/>
          <w:bottom w:w="0" w:type="nil"/>
          <w:right w:w="227" w:type="dxa"/>
        </w:tcMar>
      </w:tcPr>
    </w:tblStylePr>
  </w:style>
  <w:style w:type="character" w:customStyle="1" w:styleId="fontstyle21">
    <w:name w:val="fontstyle21"/>
    <w:basedOn w:val="Domylnaczcionkaakapitu"/>
    <w:rsid w:val="00B12C5B"/>
    <w:rPr>
      <w:rFonts w:ascii="Calibri-Light" w:hAnsi="Calibri-Light" w:hint="default"/>
      <w:b w:val="0"/>
      <w:bCs w:val="0"/>
      <w:i w:val="0"/>
      <w:iCs w:val="0"/>
      <w:color w:val="000000"/>
      <w:sz w:val="20"/>
      <w:szCs w:val="20"/>
    </w:rPr>
  </w:style>
  <w:style w:type="table" w:customStyle="1" w:styleId="Tabela-Siatka1">
    <w:name w:val="Tabela - Siatka1"/>
    <w:basedOn w:val="Standardowy"/>
    <w:next w:val="Tabela-Siatka"/>
    <w:uiPriority w:val="39"/>
    <w:rsid w:val="0098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lanskiCorpTabela1">
    <w:name w:val="Wolanski Corp Tabela1"/>
    <w:basedOn w:val="Standardowy"/>
    <w:uiPriority w:val="99"/>
    <w:rsid w:val="009867DD"/>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Box1">
    <w:name w:val="Box1"/>
    <w:basedOn w:val="Standardowy"/>
    <w:uiPriority w:val="99"/>
    <w:rsid w:val="00C61B61"/>
    <w:pPr>
      <w:spacing w:after="0" w:line="240" w:lineRule="auto"/>
      <w:jc w:val="center"/>
    </w:pPr>
    <w:rPr>
      <w:rFonts w:asciiTheme="majorHAnsi" w:hAnsiTheme="majorHAnsi"/>
      <w:b/>
      <w:sz w:val="20"/>
    </w:rPr>
    <w:tblPr>
      <w:tblInd w:w="-992" w:type="dxa"/>
      <w:tblBorders>
        <w:top w:val="single" w:sz="12" w:space="0" w:color="FFC800" w:themeColor="accent2"/>
        <w:bottom w:val="single" w:sz="12" w:space="0" w:color="FFC800" w:themeColor="accent2"/>
        <w:insideH w:val="single" w:sz="12" w:space="0" w:color="FFC800" w:themeColor="accent2"/>
      </w:tblBorders>
      <w:tblCellMar>
        <w:left w:w="0" w:type="dxa"/>
        <w:right w:w="0" w:type="dxa"/>
      </w:tblCellMar>
    </w:tblPr>
    <w:tcPr>
      <w:vAlign w:val="center"/>
    </w:tcPr>
    <w:tblStylePr w:type="firstRow">
      <w:pPr>
        <w:wordWrap/>
        <w:jc w:val="both"/>
      </w:pPr>
      <w:rPr>
        <w:rFonts w:asciiTheme="majorHAnsi" w:hAnsiTheme="majorHAnsi"/>
        <w:b w:val="0"/>
      </w:rPr>
      <w:tblPr/>
      <w:tcPr>
        <w:vAlign w:val="center"/>
      </w:tcPr>
    </w:tblStylePr>
    <w:tblStylePr w:type="firstCol">
      <w:pPr>
        <w:wordWrap/>
        <w:spacing w:beforeLines="0" w:before="120" w:beforeAutospacing="0" w:afterLines="0" w:after="120" w:afterAutospacing="0"/>
        <w:contextualSpacing w:val="0"/>
        <w:jc w:val="center"/>
      </w:pPr>
      <w:rPr>
        <w:rFonts w:asciiTheme="majorHAnsi" w:hAnsiTheme="majorHAnsi"/>
        <w:b/>
        <w:color w:val="FFC800" w:themeColor="accent2"/>
        <w:sz w:val="72"/>
      </w:rPr>
      <w:tblPr/>
      <w:tcPr>
        <w:vAlign w:val="center"/>
      </w:tcPr>
    </w:tblStylePr>
    <w:tblStylePr w:type="lastCol">
      <w:pPr>
        <w:wordWrap/>
        <w:spacing w:afterLines="0" w:after="120" w:afterAutospacing="0"/>
        <w:ind w:rightChars="0" w:right="227"/>
        <w:contextualSpacing w:val="0"/>
        <w:mirrorIndents w:val="0"/>
        <w:jc w:val="left"/>
      </w:pPr>
      <w:tblPr/>
      <w:tcPr>
        <w:vAlign w:val="center"/>
      </w:tcPr>
    </w:tblStylePr>
  </w:style>
  <w:style w:type="table" w:customStyle="1" w:styleId="Tekstdwukolumnowy1">
    <w:name w:val="Tekst dwukolumnowy1"/>
    <w:basedOn w:val="Standardowy"/>
    <w:uiPriority w:val="99"/>
    <w:rsid w:val="009867DD"/>
    <w:pPr>
      <w:spacing w:after="0" w:line="240" w:lineRule="auto"/>
      <w:jc w:val="both"/>
    </w:pPr>
    <w:tblPr>
      <w:tblCellMar>
        <w:left w:w="0" w:type="dxa"/>
        <w:right w:w="0" w:type="dxa"/>
      </w:tblCellMar>
    </w:tblPr>
    <w:tblStylePr w:type="firstCol">
      <w:tblPr/>
      <w:tcPr>
        <w:tcMar>
          <w:top w:w="0" w:type="nil"/>
          <w:left w:w="0" w:type="nil"/>
          <w:bottom w:w="0" w:type="nil"/>
          <w:right w:w="227" w:type="dxa"/>
        </w:tcMar>
      </w:tcPr>
    </w:tblStylePr>
  </w:style>
  <w:style w:type="character" w:customStyle="1" w:styleId="AkapitzlistZnak">
    <w:name w:val="Akapit z listą Znak"/>
    <w:aliases w:val="maz_wyliczenie Znak,opis dzialania Znak,K-P_odwolanie Znak,A_wyliczenie Znak,Akapit z listą5CxSpLast Znak,Akapit z list15CxSpLast Znak,Tekst punktowanie Znak,Numerowanie Znak,BulletC Znak,Akapit z listą 1 Znak,Akapit z listą5 Znak"/>
    <w:link w:val="Akapitzlist"/>
    <w:uiPriority w:val="34"/>
    <w:qFormat/>
    <w:locked/>
    <w:rsid w:val="009867DD"/>
    <w:rPr>
      <w:sz w:val="20"/>
    </w:rPr>
  </w:style>
  <w:style w:type="paragraph" w:customStyle="1" w:styleId="rdo">
    <w:name w:val="źródło"/>
    <w:basedOn w:val="Legenda"/>
    <w:next w:val="Normalny"/>
    <w:link w:val="rdoZnak"/>
    <w:qFormat/>
    <w:rsid w:val="006D78C3"/>
    <w:pPr>
      <w:keepNext w:val="0"/>
      <w:spacing w:before="0" w:after="120"/>
    </w:pPr>
    <w:rPr>
      <w:rFonts w:eastAsia="Calibri" w:cs="Times New Roman"/>
      <w:bCs/>
      <w:iCs w:val="0"/>
    </w:rPr>
  </w:style>
  <w:style w:type="character" w:customStyle="1" w:styleId="rdoZnak">
    <w:name w:val="źródło Znak"/>
    <w:basedOn w:val="LegendaZnak"/>
    <w:link w:val="rdo"/>
    <w:rsid w:val="006D78C3"/>
    <w:rPr>
      <w:rFonts w:asciiTheme="majorHAnsi" w:eastAsia="Calibri" w:hAnsiTheme="majorHAnsi" w:cs="Times New Roman"/>
      <w:bCs/>
      <w:iCs w:val="0"/>
      <w:color w:val="000000" w:themeColor="text1"/>
      <w:sz w:val="20"/>
      <w:szCs w:val="18"/>
    </w:rPr>
  </w:style>
  <w:style w:type="character" w:customStyle="1" w:styleId="tlid-translation">
    <w:name w:val="tlid-translation"/>
    <w:basedOn w:val="Domylnaczcionkaakapitu"/>
    <w:rsid w:val="009867DD"/>
  </w:style>
  <w:style w:type="table" w:customStyle="1" w:styleId="WolanskiCorpTabela2">
    <w:name w:val="Wolanski Corp Tabela2"/>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3">
    <w:name w:val="Wolanski Corp Tabela3"/>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4">
    <w:name w:val="Wolanski Corp Tabela4"/>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5">
    <w:name w:val="Wolanski Corp Tabela5"/>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character" w:customStyle="1" w:styleId="Nierozpoznanawzmianka4">
    <w:name w:val="Nierozpoznana wzmianka4"/>
    <w:basedOn w:val="Domylnaczcionkaakapitu"/>
    <w:uiPriority w:val="99"/>
    <w:semiHidden/>
    <w:unhideWhenUsed/>
    <w:rsid w:val="000C1A15"/>
    <w:rPr>
      <w:color w:val="605E5C"/>
      <w:shd w:val="clear" w:color="auto" w:fill="E1DFDD"/>
    </w:rPr>
  </w:style>
  <w:style w:type="character" w:customStyle="1" w:styleId="Nierozpoznanawzmianka5">
    <w:name w:val="Nierozpoznana wzmianka5"/>
    <w:basedOn w:val="Domylnaczcionkaakapitu"/>
    <w:uiPriority w:val="99"/>
    <w:semiHidden/>
    <w:unhideWhenUsed/>
    <w:rsid w:val="00B53CDD"/>
    <w:rPr>
      <w:color w:val="605E5C"/>
      <w:shd w:val="clear" w:color="auto" w:fill="E1DFDD"/>
    </w:rPr>
  </w:style>
  <w:style w:type="character" w:customStyle="1" w:styleId="Nierozpoznanawzmianka6">
    <w:name w:val="Nierozpoznana wzmianka6"/>
    <w:basedOn w:val="Domylnaczcionkaakapitu"/>
    <w:uiPriority w:val="99"/>
    <w:semiHidden/>
    <w:unhideWhenUsed/>
    <w:rsid w:val="000A7D47"/>
    <w:rPr>
      <w:color w:val="605E5C"/>
      <w:shd w:val="clear" w:color="auto" w:fill="E1DFDD"/>
    </w:rPr>
  </w:style>
  <w:style w:type="character" w:customStyle="1" w:styleId="Inteligentnyhiperlink1">
    <w:name w:val="Inteligentny hiperlink1"/>
    <w:basedOn w:val="Domylnaczcionkaakapitu"/>
    <w:uiPriority w:val="99"/>
    <w:semiHidden/>
    <w:unhideWhenUsed/>
    <w:rsid w:val="00F60739"/>
    <w:rPr>
      <w:u w:val="dotted"/>
    </w:rPr>
  </w:style>
  <w:style w:type="character" w:customStyle="1" w:styleId="fontstyle01">
    <w:name w:val="fontstyle01"/>
    <w:basedOn w:val="Domylnaczcionkaakapitu"/>
    <w:rsid w:val="00291275"/>
    <w:rPr>
      <w:rFonts w:ascii="Lora" w:hAnsi="Lora" w:hint="default"/>
      <w:b w:val="0"/>
      <w:bCs w:val="0"/>
      <w:i w:val="0"/>
      <w:iCs w:val="0"/>
      <w:color w:val="000000"/>
      <w:sz w:val="20"/>
      <w:szCs w:val="20"/>
    </w:rPr>
  </w:style>
  <w:style w:type="character" w:customStyle="1" w:styleId="italic">
    <w:name w:val="italic"/>
    <w:basedOn w:val="Domylnaczcionkaakapitu"/>
    <w:rsid w:val="00241F24"/>
  </w:style>
  <w:style w:type="paragraph" w:styleId="Lista">
    <w:name w:val="List"/>
    <w:basedOn w:val="Normalny"/>
    <w:uiPriority w:val="99"/>
    <w:unhideWhenUsed/>
    <w:rsid w:val="00DF5717"/>
    <w:pPr>
      <w:ind w:left="283" w:hanging="283"/>
      <w:contextualSpacing/>
    </w:pPr>
  </w:style>
  <w:style w:type="paragraph" w:styleId="Lista3">
    <w:name w:val="List 3"/>
    <w:basedOn w:val="Normalny"/>
    <w:uiPriority w:val="99"/>
    <w:unhideWhenUsed/>
    <w:rsid w:val="00DF5717"/>
    <w:pPr>
      <w:ind w:left="849" w:hanging="283"/>
      <w:contextualSpacing/>
    </w:pPr>
  </w:style>
  <w:style w:type="paragraph" w:styleId="Lista-kontynuacja2">
    <w:name w:val="List Continue 2"/>
    <w:basedOn w:val="Normalny"/>
    <w:uiPriority w:val="99"/>
    <w:unhideWhenUsed/>
    <w:rsid w:val="00DF5717"/>
    <w:pPr>
      <w:spacing w:after="120"/>
      <w:ind w:left="566"/>
      <w:contextualSpacing/>
    </w:pPr>
  </w:style>
  <w:style w:type="paragraph" w:styleId="Tekstpodstawowy">
    <w:name w:val="Body Text"/>
    <w:basedOn w:val="Normalny"/>
    <w:link w:val="TekstpodstawowyZnak"/>
    <w:uiPriority w:val="99"/>
    <w:unhideWhenUsed/>
    <w:rsid w:val="00DF5717"/>
    <w:pPr>
      <w:spacing w:after="120"/>
    </w:pPr>
  </w:style>
  <w:style w:type="character" w:customStyle="1" w:styleId="TekstpodstawowyZnak">
    <w:name w:val="Tekst podstawowy Znak"/>
    <w:basedOn w:val="Domylnaczcionkaakapitu"/>
    <w:link w:val="Tekstpodstawowy"/>
    <w:uiPriority w:val="99"/>
    <w:rsid w:val="00DF5717"/>
    <w:rPr>
      <w:sz w:val="20"/>
    </w:rPr>
  </w:style>
  <w:style w:type="paragraph" w:styleId="NormalnyWeb">
    <w:name w:val="Normal (Web)"/>
    <w:basedOn w:val="Normalny"/>
    <w:uiPriority w:val="99"/>
    <w:semiHidden/>
    <w:unhideWhenUsed/>
    <w:rsid w:val="00387A33"/>
    <w:pPr>
      <w:spacing w:before="100" w:beforeAutospacing="1" w:after="100" w:afterAutospacing="1" w:line="240" w:lineRule="auto"/>
      <w:jc w:val="left"/>
    </w:pPr>
    <w:rPr>
      <w:rFonts w:ascii="Times New Roman" w:eastAsia="Times New Roman" w:hAnsi="Times New Roman" w:cs="Times New Roman"/>
      <w:szCs w:val="24"/>
      <w:lang w:eastAsia="pl-PL"/>
    </w:rPr>
  </w:style>
  <w:style w:type="table" w:customStyle="1" w:styleId="WolanskiCorpTabela11">
    <w:name w:val="Wolanski Corp Tabela11"/>
    <w:basedOn w:val="Standardowy"/>
    <w:uiPriority w:val="99"/>
    <w:rsid w:val="00A15BBD"/>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character" w:customStyle="1" w:styleId="Nierozpoznanawzmianka7">
    <w:name w:val="Nierozpoznana wzmianka7"/>
    <w:basedOn w:val="Domylnaczcionkaakapitu"/>
    <w:uiPriority w:val="99"/>
    <w:semiHidden/>
    <w:unhideWhenUsed/>
    <w:rsid w:val="00614D70"/>
    <w:rPr>
      <w:color w:val="605E5C"/>
      <w:shd w:val="clear" w:color="auto" w:fill="E1DFDD"/>
    </w:rPr>
  </w:style>
  <w:style w:type="paragraph" w:customStyle="1" w:styleId="pf0">
    <w:name w:val="pf0"/>
    <w:basedOn w:val="Normalny"/>
    <w:rsid w:val="0053059E"/>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customStyle="1" w:styleId="cf01">
    <w:name w:val="cf01"/>
    <w:basedOn w:val="Domylnaczcionkaakapitu"/>
    <w:rsid w:val="0053059E"/>
    <w:rPr>
      <w:rFonts w:ascii="Segoe UI" w:hAnsi="Segoe UI" w:cs="Segoe UI" w:hint="default"/>
      <w:sz w:val="18"/>
      <w:szCs w:val="18"/>
    </w:rPr>
  </w:style>
  <w:style w:type="character" w:customStyle="1" w:styleId="Nierozpoznanawzmianka70">
    <w:name w:val="Nierozpoznana wzmianka7"/>
    <w:basedOn w:val="Domylnaczcionkaakapitu"/>
    <w:uiPriority w:val="99"/>
    <w:semiHidden/>
    <w:unhideWhenUsed/>
    <w:rsid w:val="006A249A"/>
    <w:rPr>
      <w:color w:val="605E5C"/>
      <w:shd w:val="clear" w:color="auto" w:fill="E1DFDD"/>
    </w:rPr>
  </w:style>
  <w:style w:type="character" w:styleId="Nierozpoznanawzmianka">
    <w:name w:val="Unresolved Mention"/>
    <w:basedOn w:val="Domylnaczcionkaakapitu"/>
    <w:uiPriority w:val="99"/>
    <w:semiHidden/>
    <w:unhideWhenUsed/>
    <w:rsid w:val="005B0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315">
      <w:bodyDiv w:val="1"/>
      <w:marLeft w:val="0"/>
      <w:marRight w:val="0"/>
      <w:marTop w:val="0"/>
      <w:marBottom w:val="0"/>
      <w:divBdr>
        <w:top w:val="none" w:sz="0" w:space="0" w:color="auto"/>
        <w:left w:val="none" w:sz="0" w:space="0" w:color="auto"/>
        <w:bottom w:val="none" w:sz="0" w:space="0" w:color="auto"/>
        <w:right w:val="none" w:sz="0" w:space="0" w:color="auto"/>
      </w:divBdr>
    </w:div>
    <w:div w:id="16544845">
      <w:bodyDiv w:val="1"/>
      <w:marLeft w:val="0"/>
      <w:marRight w:val="0"/>
      <w:marTop w:val="0"/>
      <w:marBottom w:val="0"/>
      <w:divBdr>
        <w:top w:val="none" w:sz="0" w:space="0" w:color="auto"/>
        <w:left w:val="none" w:sz="0" w:space="0" w:color="auto"/>
        <w:bottom w:val="none" w:sz="0" w:space="0" w:color="auto"/>
        <w:right w:val="none" w:sz="0" w:space="0" w:color="auto"/>
      </w:divBdr>
    </w:div>
    <w:div w:id="21253278">
      <w:bodyDiv w:val="1"/>
      <w:marLeft w:val="0"/>
      <w:marRight w:val="0"/>
      <w:marTop w:val="0"/>
      <w:marBottom w:val="0"/>
      <w:divBdr>
        <w:top w:val="none" w:sz="0" w:space="0" w:color="auto"/>
        <w:left w:val="none" w:sz="0" w:space="0" w:color="auto"/>
        <w:bottom w:val="none" w:sz="0" w:space="0" w:color="auto"/>
        <w:right w:val="none" w:sz="0" w:space="0" w:color="auto"/>
      </w:divBdr>
    </w:div>
    <w:div w:id="55787825">
      <w:bodyDiv w:val="1"/>
      <w:marLeft w:val="0"/>
      <w:marRight w:val="0"/>
      <w:marTop w:val="0"/>
      <w:marBottom w:val="0"/>
      <w:divBdr>
        <w:top w:val="none" w:sz="0" w:space="0" w:color="auto"/>
        <w:left w:val="none" w:sz="0" w:space="0" w:color="auto"/>
        <w:bottom w:val="none" w:sz="0" w:space="0" w:color="auto"/>
        <w:right w:val="none" w:sz="0" w:space="0" w:color="auto"/>
      </w:divBdr>
    </w:div>
    <w:div w:id="63533630">
      <w:bodyDiv w:val="1"/>
      <w:marLeft w:val="0"/>
      <w:marRight w:val="0"/>
      <w:marTop w:val="0"/>
      <w:marBottom w:val="0"/>
      <w:divBdr>
        <w:top w:val="none" w:sz="0" w:space="0" w:color="auto"/>
        <w:left w:val="none" w:sz="0" w:space="0" w:color="auto"/>
        <w:bottom w:val="none" w:sz="0" w:space="0" w:color="auto"/>
        <w:right w:val="none" w:sz="0" w:space="0" w:color="auto"/>
      </w:divBdr>
    </w:div>
    <w:div w:id="69086351">
      <w:bodyDiv w:val="1"/>
      <w:marLeft w:val="0"/>
      <w:marRight w:val="0"/>
      <w:marTop w:val="0"/>
      <w:marBottom w:val="0"/>
      <w:divBdr>
        <w:top w:val="none" w:sz="0" w:space="0" w:color="auto"/>
        <w:left w:val="none" w:sz="0" w:space="0" w:color="auto"/>
        <w:bottom w:val="none" w:sz="0" w:space="0" w:color="auto"/>
        <w:right w:val="none" w:sz="0" w:space="0" w:color="auto"/>
      </w:divBdr>
    </w:div>
    <w:div w:id="73743044">
      <w:bodyDiv w:val="1"/>
      <w:marLeft w:val="0"/>
      <w:marRight w:val="0"/>
      <w:marTop w:val="0"/>
      <w:marBottom w:val="0"/>
      <w:divBdr>
        <w:top w:val="none" w:sz="0" w:space="0" w:color="auto"/>
        <w:left w:val="none" w:sz="0" w:space="0" w:color="auto"/>
        <w:bottom w:val="none" w:sz="0" w:space="0" w:color="auto"/>
        <w:right w:val="none" w:sz="0" w:space="0" w:color="auto"/>
      </w:divBdr>
    </w:div>
    <w:div w:id="119537784">
      <w:bodyDiv w:val="1"/>
      <w:marLeft w:val="0"/>
      <w:marRight w:val="0"/>
      <w:marTop w:val="0"/>
      <w:marBottom w:val="0"/>
      <w:divBdr>
        <w:top w:val="none" w:sz="0" w:space="0" w:color="auto"/>
        <w:left w:val="none" w:sz="0" w:space="0" w:color="auto"/>
        <w:bottom w:val="none" w:sz="0" w:space="0" w:color="auto"/>
        <w:right w:val="none" w:sz="0" w:space="0" w:color="auto"/>
      </w:divBdr>
    </w:div>
    <w:div w:id="145319866">
      <w:bodyDiv w:val="1"/>
      <w:marLeft w:val="0"/>
      <w:marRight w:val="0"/>
      <w:marTop w:val="0"/>
      <w:marBottom w:val="0"/>
      <w:divBdr>
        <w:top w:val="none" w:sz="0" w:space="0" w:color="auto"/>
        <w:left w:val="none" w:sz="0" w:space="0" w:color="auto"/>
        <w:bottom w:val="none" w:sz="0" w:space="0" w:color="auto"/>
        <w:right w:val="none" w:sz="0" w:space="0" w:color="auto"/>
      </w:divBdr>
    </w:div>
    <w:div w:id="146937938">
      <w:bodyDiv w:val="1"/>
      <w:marLeft w:val="0"/>
      <w:marRight w:val="0"/>
      <w:marTop w:val="0"/>
      <w:marBottom w:val="0"/>
      <w:divBdr>
        <w:top w:val="none" w:sz="0" w:space="0" w:color="auto"/>
        <w:left w:val="none" w:sz="0" w:space="0" w:color="auto"/>
        <w:bottom w:val="none" w:sz="0" w:space="0" w:color="auto"/>
        <w:right w:val="none" w:sz="0" w:space="0" w:color="auto"/>
      </w:divBdr>
    </w:div>
    <w:div w:id="166097490">
      <w:bodyDiv w:val="1"/>
      <w:marLeft w:val="0"/>
      <w:marRight w:val="0"/>
      <w:marTop w:val="0"/>
      <w:marBottom w:val="0"/>
      <w:divBdr>
        <w:top w:val="none" w:sz="0" w:space="0" w:color="auto"/>
        <w:left w:val="none" w:sz="0" w:space="0" w:color="auto"/>
        <w:bottom w:val="none" w:sz="0" w:space="0" w:color="auto"/>
        <w:right w:val="none" w:sz="0" w:space="0" w:color="auto"/>
      </w:divBdr>
    </w:div>
    <w:div w:id="168838948">
      <w:bodyDiv w:val="1"/>
      <w:marLeft w:val="0"/>
      <w:marRight w:val="0"/>
      <w:marTop w:val="0"/>
      <w:marBottom w:val="0"/>
      <w:divBdr>
        <w:top w:val="none" w:sz="0" w:space="0" w:color="auto"/>
        <w:left w:val="none" w:sz="0" w:space="0" w:color="auto"/>
        <w:bottom w:val="none" w:sz="0" w:space="0" w:color="auto"/>
        <w:right w:val="none" w:sz="0" w:space="0" w:color="auto"/>
      </w:divBdr>
    </w:div>
    <w:div w:id="194192722">
      <w:bodyDiv w:val="1"/>
      <w:marLeft w:val="0"/>
      <w:marRight w:val="0"/>
      <w:marTop w:val="0"/>
      <w:marBottom w:val="0"/>
      <w:divBdr>
        <w:top w:val="none" w:sz="0" w:space="0" w:color="auto"/>
        <w:left w:val="none" w:sz="0" w:space="0" w:color="auto"/>
        <w:bottom w:val="none" w:sz="0" w:space="0" w:color="auto"/>
        <w:right w:val="none" w:sz="0" w:space="0" w:color="auto"/>
      </w:divBdr>
    </w:div>
    <w:div w:id="199099784">
      <w:bodyDiv w:val="1"/>
      <w:marLeft w:val="0"/>
      <w:marRight w:val="0"/>
      <w:marTop w:val="0"/>
      <w:marBottom w:val="0"/>
      <w:divBdr>
        <w:top w:val="none" w:sz="0" w:space="0" w:color="auto"/>
        <w:left w:val="none" w:sz="0" w:space="0" w:color="auto"/>
        <w:bottom w:val="none" w:sz="0" w:space="0" w:color="auto"/>
        <w:right w:val="none" w:sz="0" w:space="0" w:color="auto"/>
      </w:divBdr>
    </w:div>
    <w:div w:id="219094516">
      <w:bodyDiv w:val="1"/>
      <w:marLeft w:val="0"/>
      <w:marRight w:val="0"/>
      <w:marTop w:val="0"/>
      <w:marBottom w:val="0"/>
      <w:divBdr>
        <w:top w:val="none" w:sz="0" w:space="0" w:color="auto"/>
        <w:left w:val="none" w:sz="0" w:space="0" w:color="auto"/>
        <w:bottom w:val="none" w:sz="0" w:space="0" w:color="auto"/>
        <w:right w:val="none" w:sz="0" w:space="0" w:color="auto"/>
      </w:divBdr>
    </w:div>
    <w:div w:id="228344847">
      <w:bodyDiv w:val="1"/>
      <w:marLeft w:val="0"/>
      <w:marRight w:val="0"/>
      <w:marTop w:val="0"/>
      <w:marBottom w:val="0"/>
      <w:divBdr>
        <w:top w:val="none" w:sz="0" w:space="0" w:color="auto"/>
        <w:left w:val="none" w:sz="0" w:space="0" w:color="auto"/>
        <w:bottom w:val="none" w:sz="0" w:space="0" w:color="auto"/>
        <w:right w:val="none" w:sz="0" w:space="0" w:color="auto"/>
      </w:divBdr>
    </w:div>
    <w:div w:id="262029990">
      <w:bodyDiv w:val="1"/>
      <w:marLeft w:val="0"/>
      <w:marRight w:val="0"/>
      <w:marTop w:val="0"/>
      <w:marBottom w:val="0"/>
      <w:divBdr>
        <w:top w:val="none" w:sz="0" w:space="0" w:color="auto"/>
        <w:left w:val="none" w:sz="0" w:space="0" w:color="auto"/>
        <w:bottom w:val="none" w:sz="0" w:space="0" w:color="auto"/>
        <w:right w:val="none" w:sz="0" w:space="0" w:color="auto"/>
      </w:divBdr>
    </w:div>
    <w:div w:id="274334096">
      <w:bodyDiv w:val="1"/>
      <w:marLeft w:val="0"/>
      <w:marRight w:val="0"/>
      <w:marTop w:val="0"/>
      <w:marBottom w:val="0"/>
      <w:divBdr>
        <w:top w:val="none" w:sz="0" w:space="0" w:color="auto"/>
        <w:left w:val="none" w:sz="0" w:space="0" w:color="auto"/>
        <w:bottom w:val="none" w:sz="0" w:space="0" w:color="auto"/>
        <w:right w:val="none" w:sz="0" w:space="0" w:color="auto"/>
      </w:divBdr>
    </w:div>
    <w:div w:id="295185235">
      <w:bodyDiv w:val="1"/>
      <w:marLeft w:val="0"/>
      <w:marRight w:val="0"/>
      <w:marTop w:val="0"/>
      <w:marBottom w:val="0"/>
      <w:divBdr>
        <w:top w:val="none" w:sz="0" w:space="0" w:color="auto"/>
        <w:left w:val="none" w:sz="0" w:space="0" w:color="auto"/>
        <w:bottom w:val="none" w:sz="0" w:space="0" w:color="auto"/>
        <w:right w:val="none" w:sz="0" w:space="0" w:color="auto"/>
      </w:divBdr>
    </w:div>
    <w:div w:id="298196118">
      <w:bodyDiv w:val="1"/>
      <w:marLeft w:val="0"/>
      <w:marRight w:val="0"/>
      <w:marTop w:val="0"/>
      <w:marBottom w:val="0"/>
      <w:divBdr>
        <w:top w:val="none" w:sz="0" w:space="0" w:color="auto"/>
        <w:left w:val="none" w:sz="0" w:space="0" w:color="auto"/>
        <w:bottom w:val="none" w:sz="0" w:space="0" w:color="auto"/>
        <w:right w:val="none" w:sz="0" w:space="0" w:color="auto"/>
      </w:divBdr>
    </w:div>
    <w:div w:id="302464194">
      <w:bodyDiv w:val="1"/>
      <w:marLeft w:val="0"/>
      <w:marRight w:val="0"/>
      <w:marTop w:val="0"/>
      <w:marBottom w:val="0"/>
      <w:divBdr>
        <w:top w:val="none" w:sz="0" w:space="0" w:color="auto"/>
        <w:left w:val="none" w:sz="0" w:space="0" w:color="auto"/>
        <w:bottom w:val="none" w:sz="0" w:space="0" w:color="auto"/>
        <w:right w:val="none" w:sz="0" w:space="0" w:color="auto"/>
      </w:divBdr>
    </w:div>
    <w:div w:id="332342975">
      <w:bodyDiv w:val="1"/>
      <w:marLeft w:val="0"/>
      <w:marRight w:val="0"/>
      <w:marTop w:val="0"/>
      <w:marBottom w:val="0"/>
      <w:divBdr>
        <w:top w:val="none" w:sz="0" w:space="0" w:color="auto"/>
        <w:left w:val="none" w:sz="0" w:space="0" w:color="auto"/>
        <w:bottom w:val="none" w:sz="0" w:space="0" w:color="auto"/>
        <w:right w:val="none" w:sz="0" w:space="0" w:color="auto"/>
      </w:divBdr>
    </w:div>
    <w:div w:id="337660277">
      <w:bodyDiv w:val="1"/>
      <w:marLeft w:val="0"/>
      <w:marRight w:val="0"/>
      <w:marTop w:val="0"/>
      <w:marBottom w:val="0"/>
      <w:divBdr>
        <w:top w:val="none" w:sz="0" w:space="0" w:color="auto"/>
        <w:left w:val="none" w:sz="0" w:space="0" w:color="auto"/>
        <w:bottom w:val="none" w:sz="0" w:space="0" w:color="auto"/>
        <w:right w:val="none" w:sz="0" w:space="0" w:color="auto"/>
      </w:divBdr>
    </w:div>
    <w:div w:id="354498259">
      <w:bodyDiv w:val="1"/>
      <w:marLeft w:val="0"/>
      <w:marRight w:val="0"/>
      <w:marTop w:val="0"/>
      <w:marBottom w:val="0"/>
      <w:divBdr>
        <w:top w:val="none" w:sz="0" w:space="0" w:color="auto"/>
        <w:left w:val="none" w:sz="0" w:space="0" w:color="auto"/>
        <w:bottom w:val="none" w:sz="0" w:space="0" w:color="auto"/>
        <w:right w:val="none" w:sz="0" w:space="0" w:color="auto"/>
      </w:divBdr>
    </w:div>
    <w:div w:id="388647211">
      <w:bodyDiv w:val="1"/>
      <w:marLeft w:val="0"/>
      <w:marRight w:val="0"/>
      <w:marTop w:val="0"/>
      <w:marBottom w:val="0"/>
      <w:divBdr>
        <w:top w:val="none" w:sz="0" w:space="0" w:color="auto"/>
        <w:left w:val="none" w:sz="0" w:space="0" w:color="auto"/>
        <w:bottom w:val="none" w:sz="0" w:space="0" w:color="auto"/>
        <w:right w:val="none" w:sz="0" w:space="0" w:color="auto"/>
      </w:divBdr>
    </w:div>
    <w:div w:id="395248235">
      <w:bodyDiv w:val="1"/>
      <w:marLeft w:val="0"/>
      <w:marRight w:val="0"/>
      <w:marTop w:val="0"/>
      <w:marBottom w:val="0"/>
      <w:divBdr>
        <w:top w:val="none" w:sz="0" w:space="0" w:color="auto"/>
        <w:left w:val="none" w:sz="0" w:space="0" w:color="auto"/>
        <w:bottom w:val="none" w:sz="0" w:space="0" w:color="auto"/>
        <w:right w:val="none" w:sz="0" w:space="0" w:color="auto"/>
      </w:divBdr>
    </w:div>
    <w:div w:id="419764283">
      <w:bodyDiv w:val="1"/>
      <w:marLeft w:val="0"/>
      <w:marRight w:val="0"/>
      <w:marTop w:val="0"/>
      <w:marBottom w:val="0"/>
      <w:divBdr>
        <w:top w:val="none" w:sz="0" w:space="0" w:color="auto"/>
        <w:left w:val="none" w:sz="0" w:space="0" w:color="auto"/>
        <w:bottom w:val="none" w:sz="0" w:space="0" w:color="auto"/>
        <w:right w:val="none" w:sz="0" w:space="0" w:color="auto"/>
      </w:divBdr>
    </w:div>
    <w:div w:id="424767975">
      <w:bodyDiv w:val="1"/>
      <w:marLeft w:val="0"/>
      <w:marRight w:val="0"/>
      <w:marTop w:val="0"/>
      <w:marBottom w:val="0"/>
      <w:divBdr>
        <w:top w:val="none" w:sz="0" w:space="0" w:color="auto"/>
        <w:left w:val="none" w:sz="0" w:space="0" w:color="auto"/>
        <w:bottom w:val="none" w:sz="0" w:space="0" w:color="auto"/>
        <w:right w:val="none" w:sz="0" w:space="0" w:color="auto"/>
      </w:divBdr>
    </w:div>
    <w:div w:id="426775964">
      <w:bodyDiv w:val="1"/>
      <w:marLeft w:val="0"/>
      <w:marRight w:val="0"/>
      <w:marTop w:val="0"/>
      <w:marBottom w:val="0"/>
      <w:divBdr>
        <w:top w:val="none" w:sz="0" w:space="0" w:color="auto"/>
        <w:left w:val="none" w:sz="0" w:space="0" w:color="auto"/>
        <w:bottom w:val="none" w:sz="0" w:space="0" w:color="auto"/>
        <w:right w:val="none" w:sz="0" w:space="0" w:color="auto"/>
      </w:divBdr>
    </w:div>
    <w:div w:id="439183316">
      <w:bodyDiv w:val="1"/>
      <w:marLeft w:val="0"/>
      <w:marRight w:val="0"/>
      <w:marTop w:val="0"/>
      <w:marBottom w:val="0"/>
      <w:divBdr>
        <w:top w:val="none" w:sz="0" w:space="0" w:color="auto"/>
        <w:left w:val="none" w:sz="0" w:space="0" w:color="auto"/>
        <w:bottom w:val="none" w:sz="0" w:space="0" w:color="auto"/>
        <w:right w:val="none" w:sz="0" w:space="0" w:color="auto"/>
      </w:divBdr>
    </w:div>
    <w:div w:id="450366629">
      <w:bodyDiv w:val="1"/>
      <w:marLeft w:val="0"/>
      <w:marRight w:val="0"/>
      <w:marTop w:val="0"/>
      <w:marBottom w:val="0"/>
      <w:divBdr>
        <w:top w:val="none" w:sz="0" w:space="0" w:color="auto"/>
        <w:left w:val="none" w:sz="0" w:space="0" w:color="auto"/>
        <w:bottom w:val="none" w:sz="0" w:space="0" w:color="auto"/>
        <w:right w:val="none" w:sz="0" w:space="0" w:color="auto"/>
      </w:divBdr>
    </w:div>
    <w:div w:id="455635582">
      <w:bodyDiv w:val="1"/>
      <w:marLeft w:val="0"/>
      <w:marRight w:val="0"/>
      <w:marTop w:val="0"/>
      <w:marBottom w:val="0"/>
      <w:divBdr>
        <w:top w:val="none" w:sz="0" w:space="0" w:color="auto"/>
        <w:left w:val="none" w:sz="0" w:space="0" w:color="auto"/>
        <w:bottom w:val="none" w:sz="0" w:space="0" w:color="auto"/>
        <w:right w:val="none" w:sz="0" w:space="0" w:color="auto"/>
      </w:divBdr>
    </w:div>
    <w:div w:id="469324486">
      <w:bodyDiv w:val="1"/>
      <w:marLeft w:val="0"/>
      <w:marRight w:val="0"/>
      <w:marTop w:val="0"/>
      <w:marBottom w:val="0"/>
      <w:divBdr>
        <w:top w:val="none" w:sz="0" w:space="0" w:color="auto"/>
        <w:left w:val="none" w:sz="0" w:space="0" w:color="auto"/>
        <w:bottom w:val="none" w:sz="0" w:space="0" w:color="auto"/>
        <w:right w:val="none" w:sz="0" w:space="0" w:color="auto"/>
      </w:divBdr>
    </w:div>
    <w:div w:id="481849516">
      <w:bodyDiv w:val="1"/>
      <w:marLeft w:val="0"/>
      <w:marRight w:val="0"/>
      <w:marTop w:val="0"/>
      <w:marBottom w:val="0"/>
      <w:divBdr>
        <w:top w:val="none" w:sz="0" w:space="0" w:color="auto"/>
        <w:left w:val="none" w:sz="0" w:space="0" w:color="auto"/>
        <w:bottom w:val="none" w:sz="0" w:space="0" w:color="auto"/>
        <w:right w:val="none" w:sz="0" w:space="0" w:color="auto"/>
      </w:divBdr>
    </w:div>
    <w:div w:id="483622249">
      <w:bodyDiv w:val="1"/>
      <w:marLeft w:val="0"/>
      <w:marRight w:val="0"/>
      <w:marTop w:val="0"/>
      <w:marBottom w:val="0"/>
      <w:divBdr>
        <w:top w:val="none" w:sz="0" w:space="0" w:color="auto"/>
        <w:left w:val="none" w:sz="0" w:space="0" w:color="auto"/>
        <w:bottom w:val="none" w:sz="0" w:space="0" w:color="auto"/>
        <w:right w:val="none" w:sz="0" w:space="0" w:color="auto"/>
      </w:divBdr>
    </w:div>
    <w:div w:id="492650980">
      <w:bodyDiv w:val="1"/>
      <w:marLeft w:val="0"/>
      <w:marRight w:val="0"/>
      <w:marTop w:val="0"/>
      <w:marBottom w:val="0"/>
      <w:divBdr>
        <w:top w:val="none" w:sz="0" w:space="0" w:color="auto"/>
        <w:left w:val="none" w:sz="0" w:space="0" w:color="auto"/>
        <w:bottom w:val="none" w:sz="0" w:space="0" w:color="auto"/>
        <w:right w:val="none" w:sz="0" w:space="0" w:color="auto"/>
      </w:divBdr>
    </w:div>
    <w:div w:id="493885055">
      <w:bodyDiv w:val="1"/>
      <w:marLeft w:val="0"/>
      <w:marRight w:val="0"/>
      <w:marTop w:val="0"/>
      <w:marBottom w:val="0"/>
      <w:divBdr>
        <w:top w:val="none" w:sz="0" w:space="0" w:color="auto"/>
        <w:left w:val="none" w:sz="0" w:space="0" w:color="auto"/>
        <w:bottom w:val="none" w:sz="0" w:space="0" w:color="auto"/>
        <w:right w:val="none" w:sz="0" w:space="0" w:color="auto"/>
      </w:divBdr>
    </w:div>
    <w:div w:id="522672690">
      <w:bodyDiv w:val="1"/>
      <w:marLeft w:val="0"/>
      <w:marRight w:val="0"/>
      <w:marTop w:val="0"/>
      <w:marBottom w:val="0"/>
      <w:divBdr>
        <w:top w:val="none" w:sz="0" w:space="0" w:color="auto"/>
        <w:left w:val="none" w:sz="0" w:space="0" w:color="auto"/>
        <w:bottom w:val="none" w:sz="0" w:space="0" w:color="auto"/>
        <w:right w:val="none" w:sz="0" w:space="0" w:color="auto"/>
      </w:divBdr>
    </w:div>
    <w:div w:id="580911922">
      <w:bodyDiv w:val="1"/>
      <w:marLeft w:val="0"/>
      <w:marRight w:val="0"/>
      <w:marTop w:val="0"/>
      <w:marBottom w:val="0"/>
      <w:divBdr>
        <w:top w:val="none" w:sz="0" w:space="0" w:color="auto"/>
        <w:left w:val="none" w:sz="0" w:space="0" w:color="auto"/>
        <w:bottom w:val="none" w:sz="0" w:space="0" w:color="auto"/>
        <w:right w:val="none" w:sz="0" w:space="0" w:color="auto"/>
      </w:divBdr>
    </w:div>
    <w:div w:id="587662792">
      <w:bodyDiv w:val="1"/>
      <w:marLeft w:val="0"/>
      <w:marRight w:val="0"/>
      <w:marTop w:val="0"/>
      <w:marBottom w:val="0"/>
      <w:divBdr>
        <w:top w:val="none" w:sz="0" w:space="0" w:color="auto"/>
        <w:left w:val="none" w:sz="0" w:space="0" w:color="auto"/>
        <w:bottom w:val="none" w:sz="0" w:space="0" w:color="auto"/>
        <w:right w:val="none" w:sz="0" w:space="0" w:color="auto"/>
      </w:divBdr>
      <w:divsChild>
        <w:div w:id="1530682442">
          <w:marLeft w:val="547"/>
          <w:marRight w:val="0"/>
          <w:marTop w:val="0"/>
          <w:marBottom w:val="0"/>
          <w:divBdr>
            <w:top w:val="none" w:sz="0" w:space="0" w:color="auto"/>
            <w:left w:val="none" w:sz="0" w:space="0" w:color="auto"/>
            <w:bottom w:val="none" w:sz="0" w:space="0" w:color="auto"/>
            <w:right w:val="none" w:sz="0" w:space="0" w:color="auto"/>
          </w:divBdr>
        </w:div>
      </w:divsChild>
    </w:div>
    <w:div w:id="589656383">
      <w:bodyDiv w:val="1"/>
      <w:marLeft w:val="0"/>
      <w:marRight w:val="0"/>
      <w:marTop w:val="0"/>
      <w:marBottom w:val="0"/>
      <w:divBdr>
        <w:top w:val="none" w:sz="0" w:space="0" w:color="auto"/>
        <w:left w:val="none" w:sz="0" w:space="0" w:color="auto"/>
        <w:bottom w:val="none" w:sz="0" w:space="0" w:color="auto"/>
        <w:right w:val="none" w:sz="0" w:space="0" w:color="auto"/>
      </w:divBdr>
    </w:div>
    <w:div w:id="616369774">
      <w:bodyDiv w:val="1"/>
      <w:marLeft w:val="0"/>
      <w:marRight w:val="0"/>
      <w:marTop w:val="0"/>
      <w:marBottom w:val="0"/>
      <w:divBdr>
        <w:top w:val="none" w:sz="0" w:space="0" w:color="auto"/>
        <w:left w:val="none" w:sz="0" w:space="0" w:color="auto"/>
        <w:bottom w:val="none" w:sz="0" w:space="0" w:color="auto"/>
        <w:right w:val="none" w:sz="0" w:space="0" w:color="auto"/>
      </w:divBdr>
    </w:div>
    <w:div w:id="652375714">
      <w:bodyDiv w:val="1"/>
      <w:marLeft w:val="0"/>
      <w:marRight w:val="0"/>
      <w:marTop w:val="0"/>
      <w:marBottom w:val="0"/>
      <w:divBdr>
        <w:top w:val="none" w:sz="0" w:space="0" w:color="auto"/>
        <w:left w:val="none" w:sz="0" w:space="0" w:color="auto"/>
        <w:bottom w:val="none" w:sz="0" w:space="0" w:color="auto"/>
        <w:right w:val="none" w:sz="0" w:space="0" w:color="auto"/>
      </w:divBdr>
    </w:div>
    <w:div w:id="679937995">
      <w:bodyDiv w:val="1"/>
      <w:marLeft w:val="0"/>
      <w:marRight w:val="0"/>
      <w:marTop w:val="0"/>
      <w:marBottom w:val="0"/>
      <w:divBdr>
        <w:top w:val="none" w:sz="0" w:space="0" w:color="auto"/>
        <w:left w:val="none" w:sz="0" w:space="0" w:color="auto"/>
        <w:bottom w:val="none" w:sz="0" w:space="0" w:color="auto"/>
        <w:right w:val="none" w:sz="0" w:space="0" w:color="auto"/>
      </w:divBdr>
    </w:div>
    <w:div w:id="690691122">
      <w:bodyDiv w:val="1"/>
      <w:marLeft w:val="0"/>
      <w:marRight w:val="0"/>
      <w:marTop w:val="0"/>
      <w:marBottom w:val="0"/>
      <w:divBdr>
        <w:top w:val="none" w:sz="0" w:space="0" w:color="auto"/>
        <w:left w:val="none" w:sz="0" w:space="0" w:color="auto"/>
        <w:bottom w:val="none" w:sz="0" w:space="0" w:color="auto"/>
        <w:right w:val="none" w:sz="0" w:space="0" w:color="auto"/>
      </w:divBdr>
    </w:div>
    <w:div w:id="705638739">
      <w:bodyDiv w:val="1"/>
      <w:marLeft w:val="0"/>
      <w:marRight w:val="0"/>
      <w:marTop w:val="0"/>
      <w:marBottom w:val="0"/>
      <w:divBdr>
        <w:top w:val="none" w:sz="0" w:space="0" w:color="auto"/>
        <w:left w:val="none" w:sz="0" w:space="0" w:color="auto"/>
        <w:bottom w:val="none" w:sz="0" w:space="0" w:color="auto"/>
        <w:right w:val="none" w:sz="0" w:space="0" w:color="auto"/>
      </w:divBdr>
    </w:div>
    <w:div w:id="712731158">
      <w:bodyDiv w:val="1"/>
      <w:marLeft w:val="0"/>
      <w:marRight w:val="0"/>
      <w:marTop w:val="0"/>
      <w:marBottom w:val="0"/>
      <w:divBdr>
        <w:top w:val="none" w:sz="0" w:space="0" w:color="auto"/>
        <w:left w:val="none" w:sz="0" w:space="0" w:color="auto"/>
        <w:bottom w:val="none" w:sz="0" w:space="0" w:color="auto"/>
        <w:right w:val="none" w:sz="0" w:space="0" w:color="auto"/>
      </w:divBdr>
    </w:div>
    <w:div w:id="721446734">
      <w:bodyDiv w:val="1"/>
      <w:marLeft w:val="0"/>
      <w:marRight w:val="0"/>
      <w:marTop w:val="0"/>
      <w:marBottom w:val="0"/>
      <w:divBdr>
        <w:top w:val="none" w:sz="0" w:space="0" w:color="auto"/>
        <w:left w:val="none" w:sz="0" w:space="0" w:color="auto"/>
        <w:bottom w:val="none" w:sz="0" w:space="0" w:color="auto"/>
        <w:right w:val="none" w:sz="0" w:space="0" w:color="auto"/>
      </w:divBdr>
    </w:div>
    <w:div w:id="722364611">
      <w:bodyDiv w:val="1"/>
      <w:marLeft w:val="0"/>
      <w:marRight w:val="0"/>
      <w:marTop w:val="0"/>
      <w:marBottom w:val="0"/>
      <w:divBdr>
        <w:top w:val="none" w:sz="0" w:space="0" w:color="auto"/>
        <w:left w:val="none" w:sz="0" w:space="0" w:color="auto"/>
        <w:bottom w:val="none" w:sz="0" w:space="0" w:color="auto"/>
        <w:right w:val="none" w:sz="0" w:space="0" w:color="auto"/>
      </w:divBdr>
    </w:div>
    <w:div w:id="745684393">
      <w:bodyDiv w:val="1"/>
      <w:marLeft w:val="0"/>
      <w:marRight w:val="0"/>
      <w:marTop w:val="0"/>
      <w:marBottom w:val="0"/>
      <w:divBdr>
        <w:top w:val="none" w:sz="0" w:space="0" w:color="auto"/>
        <w:left w:val="none" w:sz="0" w:space="0" w:color="auto"/>
        <w:bottom w:val="none" w:sz="0" w:space="0" w:color="auto"/>
        <w:right w:val="none" w:sz="0" w:space="0" w:color="auto"/>
      </w:divBdr>
    </w:div>
    <w:div w:id="760374365">
      <w:bodyDiv w:val="1"/>
      <w:marLeft w:val="0"/>
      <w:marRight w:val="0"/>
      <w:marTop w:val="0"/>
      <w:marBottom w:val="0"/>
      <w:divBdr>
        <w:top w:val="none" w:sz="0" w:space="0" w:color="auto"/>
        <w:left w:val="none" w:sz="0" w:space="0" w:color="auto"/>
        <w:bottom w:val="none" w:sz="0" w:space="0" w:color="auto"/>
        <w:right w:val="none" w:sz="0" w:space="0" w:color="auto"/>
      </w:divBdr>
    </w:div>
    <w:div w:id="793908781">
      <w:bodyDiv w:val="1"/>
      <w:marLeft w:val="0"/>
      <w:marRight w:val="0"/>
      <w:marTop w:val="0"/>
      <w:marBottom w:val="0"/>
      <w:divBdr>
        <w:top w:val="none" w:sz="0" w:space="0" w:color="auto"/>
        <w:left w:val="none" w:sz="0" w:space="0" w:color="auto"/>
        <w:bottom w:val="none" w:sz="0" w:space="0" w:color="auto"/>
        <w:right w:val="none" w:sz="0" w:space="0" w:color="auto"/>
      </w:divBdr>
    </w:div>
    <w:div w:id="797380903">
      <w:bodyDiv w:val="1"/>
      <w:marLeft w:val="0"/>
      <w:marRight w:val="0"/>
      <w:marTop w:val="0"/>
      <w:marBottom w:val="0"/>
      <w:divBdr>
        <w:top w:val="none" w:sz="0" w:space="0" w:color="auto"/>
        <w:left w:val="none" w:sz="0" w:space="0" w:color="auto"/>
        <w:bottom w:val="none" w:sz="0" w:space="0" w:color="auto"/>
        <w:right w:val="none" w:sz="0" w:space="0" w:color="auto"/>
      </w:divBdr>
    </w:div>
    <w:div w:id="809253637">
      <w:bodyDiv w:val="1"/>
      <w:marLeft w:val="0"/>
      <w:marRight w:val="0"/>
      <w:marTop w:val="0"/>
      <w:marBottom w:val="0"/>
      <w:divBdr>
        <w:top w:val="none" w:sz="0" w:space="0" w:color="auto"/>
        <w:left w:val="none" w:sz="0" w:space="0" w:color="auto"/>
        <w:bottom w:val="none" w:sz="0" w:space="0" w:color="auto"/>
        <w:right w:val="none" w:sz="0" w:space="0" w:color="auto"/>
      </w:divBdr>
    </w:div>
    <w:div w:id="828787052">
      <w:bodyDiv w:val="1"/>
      <w:marLeft w:val="0"/>
      <w:marRight w:val="0"/>
      <w:marTop w:val="0"/>
      <w:marBottom w:val="0"/>
      <w:divBdr>
        <w:top w:val="none" w:sz="0" w:space="0" w:color="auto"/>
        <w:left w:val="none" w:sz="0" w:space="0" w:color="auto"/>
        <w:bottom w:val="none" w:sz="0" w:space="0" w:color="auto"/>
        <w:right w:val="none" w:sz="0" w:space="0" w:color="auto"/>
      </w:divBdr>
    </w:div>
    <w:div w:id="847868596">
      <w:bodyDiv w:val="1"/>
      <w:marLeft w:val="0"/>
      <w:marRight w:val="0"/>
      <w:marTop w:val="0"/>
      <w:marBottom w:val="0"/>
      <w:divBdr>
        <w:top w:val="none" w:sz="0" w:space="0" w:color="auto"/>
        <w:left w:val="none" w:sz="0" w:space="0" w:color="auto"/>
        <w:bottom w:val="none" w:sz="0" w:space="0" w:color="auto"/>
        <w:right w:val="none" w:sz="0" w:space="0" w:color="auto"/>
      </w:divBdr>
    </w:div>
    <w:div w:id="868420435">
      <w:bodyDiv w:val="1"/>
      <w:marLeft w:val="0"/>
      <w:marRight w:val="0"/>
      <w:marTop w:val="0"/>
      <w:marBottom w:val="0"/>
      <w:divBdr>
        <w:top w:val="none" w:sz="0" w:space="0" w:color="auto"/>
        <w:left w:val="none" w:sz="0" w:space="0" w:color="auto"/>
        <w:bottom w:val="none" w:sz="0" w:space="0" w:color="auto"/>
        <w:right w:val="none" w:sz="0" w:space="0" w:color="auto"/>
      </w:divBdr>
    </w:div>
    <w:div w:id="885486167">
      <w:bodyDiv w:val="1"/>
      <w:marLeft w:val="0"/>
      <w:marRight w:val="0"/>
      <w:marTop w:val="0"/>
      <w:marBottom w:val="0"/>
      <w:divBdr>
        <w:top w:val="none" w:sz="0" w:space="0" w:color="auto"/>
        <w:left w:val="none" w:sz="0" w:space="0" w:color="auto"/>
        <w:bottom w:val="none" w:sz="0" w:space="0" w:color="auto"/>
        <w:right w:val="none" w:sz="0" w:space="0" w:color="auto"/>
      </w:divBdr>
    </w:div>
    <w:div w:id="894127600">
      <w:bodyDiv w:val="1"/>
      <w:marLeft w:val="0"/>
      <w:marRight w:val="0"/>
      <w:marTop w:val="0"/>
      <w:marBottom w:val="0"/>
      <w:divBdr>
        <w:top w:val="none" w:sz="0" w:space="0" w:color="auto"/>
        <w:left w:val="none" w:sz="0" w:space="0" w:color="auto"/>
        <w:bottom w:val="none" w:sz="0" w:space="0" w:color="auto"/>
        <w:right w:val="none" w:sz="0" w:space="0" w:color="auto"/>
      </w:divBdr>
    </w:div>
    <w:div w:id="896475605">
      <w:bodyDiv w:val="1"/>
      <w:marLeft w:val="0"/>
      <w:marRight w:val="0"/>
      <w:marTop w:val="0"/>
      <w:marBottom w:val="0"/>
      <w:divBdr>
        <w:top w:val="none" w:sz="0" w:space="0" w:color="auto"/>
        <w:left w:val="none" w:sz="0" w:space="0" w:color="auto"/>
        <w:bottom w:val="none" w:sz="0" w:space="0" w:color="auto"/>
        <w:right w:val="none" w:sz="0" w:space="0" w:color="auto"/>
      </w:divBdr>
    </w:div>
    <w:div w:id="912274961">
      <w:bodyDiv w:val="1"/>
      <w:marLeft w:val="0"/>
      <w:marRight w:val="0"/>
      <w:marTop w:val="0"/>
      <w:marBottom w:val="0"/>
      <w:divBdr>
        <w:top w:val="none" w:sz="0" w:space="0" w:color="auto"/>
        <w:left w:val="none" w:sz="0" w:space="0" w:color="auto"/>
        <w:bottom w:val="none" w:sz="0" w:space="0" w:color="auto"/>
        <w:right w:val="none" w:sz="0" w:space="0" w:color="auto"/>
      </w:divBdr>
    </w:div>
    <w:div w:id="932395679">
      <w:bodyDiv w:val="1"/>
      <w:marLeft w:val="0"/>
      <w:marRight w:val="0"/>
      <w:marTop w:val="0"/>
      <w:marBottom w:val="0"/>
      <w:divBdr>
        <w:top w:val="none" w:sz="0" w:space="0" w:color="auto"/>
        <w:left w:val="none" w:sz="0" w:space="0" w:color="auto"/>
        <w:bottom w:val="none" w:sz="0" w:space="0" w:color="auto"/>
        <w:right w:val="none" w:sz="0" w:space="0" w:color="auto"/>
      </w:divBdr>
    </w:div>
    <w:div w:id="942952186">
      <w:bodyDiv w:val="1"/>
      <w:marLeft w:val="0"/>
      <w:marRight w:val="0"/>
      <w:marTop w:val="0"/>
      <w:marBottom w:val="0"/>
      <w:divBdr>
        <w:top w:val="none" w:sz="0" w:space="0" w:color="auto"/>
        <w:left w:val="none" w:sz="0" w:space="0" w:color="auto"/>
        <w:bottom w:val="none" w:sz="0" w:space="0" w:color="auto"/>
        <w:right w:val="none" w:sz="0" w:space="0" w:color="auto"/>
      </w:divBdr>
    </w:div>
    <w:div w:id="944580714">
      <w:bodyDiv w:val="1"/>
      <w:marLeft w:val="0"/>
      <w:marRight w:val="0"/>
      <w:marTop w:val="0"/>
      <w:marBottom w:val="0"/>
      <w:divBdr>
        <w:top w:val="none" w:sz="0" w:space="0" w:color="auto"/>
        <w:left w:val="none" w:sz="0" w:space="0" w:color="auto"/>
        <w:bottom w:val="none" w:sz="0" w:space="0" w:color="auto"/>
        <w:right w:val="none" w:sz="0" w:space="0" w:color="auto"/>
      </w:divBdr>
    </w:div>
    <w:div w:id="950361923">
      <w:bodyDiv w:val="1"/>
      <w:marLeft w:val="0"/>
      <w:marRight w:val="0"/>
      <w:marTop w:val="0"/>
      <w:marBottom w:val="0"/>
      <w:divBdr>
        <w:top w:val="none" w:sz="0" w:space="0" w:color="auto"/>
        <w:left w:val="none" w:sz="0" w:space="0" w:color="auto"/>
        <w:bottom w:val="none" w:sz="0" w:space="0" w:color="auto"/>
        <w:right w:val="none" w:sz="0" w:space="0" w:color="auto"/>
      </w:divBdr>
    </w:div>
    <w:div w:id="978614160">
      <w:bodyDiv w:val="1"/>
      <w:marLeft w:val="0"/>
      <w:marRight w:val="0"/>
      <w:marTop w:val="0"/>
      <w:marBottom w:val="0"/>
      <w:divBdr>
        <w:top w:val="none" w:sz="0" w:space="0" w:color="auto"/>
        <w:left w:val="none" w:sz="0" w:space="0" w:color="auto"/>
        <w:bottom w:val="none" w:sz="0" w:space="0" w:color="auto"/>
        <w:right w:val="none" w:sz="0" w:space="0" w:color="auto"/>
      </w:divBdr>
    </w:div>
    <w:div w:id="988290003">
      <w:bodyDiv w:val="1"/>
      <w:marLeft w:val="0"/>
      <w:marRight w:val="0"/>
      <w:marTop w:val="0"/>
      <w:marBottom w:val="0"/>
      <w:divBdr>
        <w:top w:val="none" w:sz="0" w:space="0" w:color="auto"/>
        <w:left w:val="none" w:sz="0" w:space="0" w:color="auto"/>
        <w:bottom w:val="none" w:sz="0" w:space="0" w:color="auto"/>
        <w:right w:val="none" w:sz="0" w:space="0" w:color="auto"/>
      </w:divBdr>
    </w:div>
    <w:div w:id="993411646">
      <w:bodyDiv w:val="1"/>
      <w:marLeft w:val="0"/>
      <w:marRight w:val="0"/>
      <w:marTop w:val="0"/>
      <w:marBottom w:val="0"/>
      <w:divBdr>
        <w:top w:val="none" w:sz="0" w:space="0" w:color="auto"/>
        <w:left w:val="none" w:sz="0" w:space="0" w:color="auto"/>
        <w:bottom w:val="none" w:sz="0" w:space="0" w:color="auto"/>
        <w:right w:val="none" w:sz="0" w:space="0" w:color="auto"/>
      </w:divBdr>
    </w:div>
    <w:div w:id="1002703768">
      <w:bodyDiv w:val="1"/>
      <w:marLeft w:val="0"/>
      <w:marRight w:val="0"/>
      <w:marTop w:val="0"/>
      <w:marBottom w:val="0"/>
      <w:divBdr>
        <w:top w:val="none" w:sz="0" w:space="0" w:color="auto"/>
        <w:left w:val="none" w:sz="0" w:space="0" w:color="auto"/>
        <w:bottom w:val="none" w:sz="0" w:space="0" w:color="auto"/>
        <w:right w:val="none" w:sz="0" w:space="0" w:color="auto"/>
      </w:divBdr>
    </w:div>
    <w:div w:id="1045905468">
      <w:bodyDiv w:val="1"/>
      <w:marLeft w:val="0"/>
      <w:marRight w:val="0"/>
      <w:marTop w:val="0"/>
      <w:marBottom w:val="0"/>
      <w:divBdr>
        <w:top w:val="none" w:sz="0" w:space="0" w:color="auto"/>
        <w:left w:val="none" w:sz="0" w:space="0" w:color="auto"/>
        <w:bottom w:val="none" w:sz="0" w:space="0" w:color="auto"/>
        <w:right w:val="none" w:sz="0" w:space="0" w:color="auto"/>
      </w:divBdr>
    </w:div>
    <w:div w:id="1054037784">
      <w:bodyDiv w:val="1"/>
      <w:marLeft w:val="0"/>
      <w:marRight w:val="0"/>
      <w:marTop w:val="0"/>
      <w:marBottom w:val="0"/>
      <w:divBdr>
        <w:top w:val="none" w:sz="0" w:space="0" w:color="auto"/>
        <w:left w:val="none" w:sz="0" w:space="0" w:color="auto"/>
        <w:bottom w:val="none" w:sz="0" w:space="0" w:color="auto"/>
        <w:right w:val="none" w:sz="0" w:space="0" w:color="auto"/>
      </w:divBdr>
    </w:div>
    <w:div w:id="1061909580">
      <w:bodyDiv w:val="1"/>
      <w:marLeft w:val="0"/>
      <w:marRight w:val="0"/>
      <w:marTop w:val="0"/>
      <w:marBottom w:val="0"/>
      <w:divBdr>
        <w:top w:val="none" w:sz="0" w:space="0" w:color="auto"/>
        <w:left w:val="none" w:sz="0" w:space="0" w:color="auto"/>
        <w:bottom w:val="none" w:sz="0" w:space="0" w:color="auto"/>
        <w:right w:val="none" w:sz="0" w:space="0" w:color="auto"/>
      </w:divBdr>
    </w:div>
    <w:div w:id="1074359150">
      <w:bodyDiv w:val="1"/>
      <w:marLeft w:val="0"/>
      <w:marRight w:val="0"/>
      <w:marTop w:val="0"/>
      <w:marBottom w:val="0"/>
      <w:divBdr>
        <w:top w:val="none" w:sz="0" w:space="0" w:color="auto"/>
        <w:left w:val="none" w:sz="0" w:space="0" w:color="auto"/>
        <w:bottom w:val="none" w:sz="0" w:space="0" w:color="auto"/>
        <w:right w:val="none" w:sz="0" w:space="0" w:color="auto"/>
      </w:divBdr>
    </w:div>
    <w:div w:id="1106923257">
      <w:bodyDiv w:val="1"/>
      <w:marLeft w:val="0"/>
      <w:marRight w:val="0"/>
      <w:marTop w:val="0"/>
      <w:marBottom w:val="0"/>
      <w:divBdr>
        <w:top w:val="none" w:sz="0" w:space="0" w:color="auto"/>
        <w:left w:val="none" w:sz="0" w:space="0" w:color="auto"/>
        <w:bottom w:val="none" w:sz="0" w:space="0" w:color="auto"/>
        <w:right w:val="none" w:sz="0" w:space="0" w:color="auto"/>
      </w:divBdr>
    </w:div>
    <w:div w:id="1116214047">
      <w:bodyDiv w:val="1"/>
      <w:marLeft w:val="0"/>
      <w:marRight w:val="0"/>
      <w:marTop w:val="0"/>
      <w:marBottom w:val="0"/>
      <w:divBdr>
        <w:top w:val="none" w:sz="0" w:space="0" w:color="auto"/>
        <w:left w:val="none" w:sz="0" w:space="0" w:color="auto"/>
        <w:bottom w:val="none" w:sz="0" w:space="0" w:color="auto"/>
        <w:right w:val="none" w:sz="0" w:space="0" w:color="auto"/>
      </w:divBdr>
    </w:div>
    <w:div w:id="1124302793">
      <w:bodyDiv w:val="1"/>
      <w:marLeft w:val="0"/>
      <w:marRight w:val="0"/>
      <w:marTop w:val="0"/>
      <w:marBottom w:val="0"/>
      <w:divBdr>
        <w:top w:val="none" w:sz="0" w:space="0" w:color="auto"/>
        <w:left w:val="none" w:sz="0" w:space="0" w:color="auto"/>
        <w:bottom w:val="none" w:sz="0" w:space="0" w:color="auto"/>
        <w:right w:val="none" w:sz="0" w:space="0" w:color="auto"/>
      </w:divBdr>
    </w:div>
    <w:div w:id="1125539449">
      <w:bodyDiv w:val="1"/>
      <w:marLeft w:val="0"/>
      <w:marRight w:val="0"/>
      <w:marTop w:val="0"/>
      <w:marBottom w:val="0"/>
      <w:divBdr>
        <w:top w:val="none" w:sz="0" w:space="0" w:color="auto"/>
        <w:left w:val="none" w:sz="0" w:space="0" w:color="auto"/>
        <w:bottom w:val="none" w:sz="0" w:space="0" w:color="auto"/>
        <w:right w:val="none" w:sz="0" w:space="0" w:color="auto"/>
      </w:divBdr>
      <w:divsChild>
        <w:div w:id="1137842016">
          <w:marLeft w:val="547"/>
          <w:marRight w:val="0"/>
          <w:marTop w:val="0"/>
          <w:marBottom w:val="0"/>
          <w:divBdr>
            <w:top w:val="none" w:sz="0" w:space="0" w:color="auto"/>
            <w:left w:val="none" w:sz="0" w:space="0" w:color="auto"/>
            <w:bottom w:val="none" w:sz="0" w:space="0" w:color="auto"/>
            <w:right w:val="none" w:sz="0" w:space="0" w:color="auto"/>
          </w:divBdr>
        </w:div>
      </w:divsChild>
    </w:div>
    <w:div w:id="1125588232">
      <w:bodyDiv w:val="1"/>
      <w:marLeft w:val="0"/>
      <w:marRight w:val="0"/>
      <w:marTop w:val="0"/>
      <w:marBottom w:val="0"/>
      <w:divBdr>
        <w:top w:val="none" w:sz="0" w:space="0" w:color="auto"/>
        <w:left w:val="none" w:sz="0" w:space="0" w:color="auto"/>
        <w:bottom w:val="none" w:sz="0" w:space="0" w:color="auto"/>
        <w:right w:val="none" w:sz="0" w:space="0" w:color="auto"/>
      </w:divBdr>
    </w:div>
    <w:div w:id="1130169170">
      <w:bodyDiv w:val="1"/>
      <w:marLeft w:val="0"/>
      <w:marRight w:val="0"/>
      <w:marTop w:val="0"/>
      <w:marBottom w:val="0"/>
      <w:divBdr>
        <w:top w:val="none" w:sz="0" w:space="0" w:color="auto"/>
        <w:left w:val="none" w:sz="0" w:space="0" w:color="auto"/>
        <w:bottom w:val="none" w:sz="0" w:space="0" w:color="auto"/>
        <w:right w:val="none" w:sz="0" w:space="0" w:color="auto"/>
      </w:divBdr>
    </w:div>
    <w:div w:id="1141653916">
      <w:bodyDiv w:val="1"/>
      <w:marLeft w:val="0"/>
      <w:marRight w:val="0"/>
      <w:marTop w:val="0"/>
      <w:marBottom w:val="0"/>
      <w:divBdr>
        <w:top w:val="none" w:sz="0" w:space="0" w:color="auto"/>
        <w:left w:val="none" w:sz="0" w:space="0" w:color="auto"/>
        <w:bottom w:val="none" w:sz="0" w:space="0" w:color="auto"/>
        <w:right w:val="none" w:sz="0" w:space="0" w:color="auto"/>
      </w:divBdr>
    </w:div>
    <w:div w:id="1167794261">
      <w:bodyDiv w:val="1"/>
      <w:marLeft w:val="0"/>
      <w:marRight w:val="0"/>
      <w:marTop w:val="0"/>
      <w:marBottom w:val="0"/>
      <w:divBdr>
        <w:top w:val="none" w:sz="0" w:space="0" w:color="auto"/>
        <w:left w:val="none" w:sz="0" w:space="0" w:color="auto"/>
        <w:bottom w:val="none" w:sz="0" w:space="0" w:color="auto"/>
        <w:right w:val="none" w:sz="0" w:space="0" w:color="auto"/>
      </w:divBdr>
    </w:div>
    <w:div w:id="1196507341">
      <w:bodyDiv w:val="1"/>
      <w:marLeft w:val="0"/>
      <w:marRight w:val="0"/>
      <w:marTop w:val="0"/>
      <w:marBottom w:val="0"/>
      <w:divBdr>
        <w:top w:val="none" w:sz="0" w:space="0" w:color="auto"/>
        <w:left w:val="none" w:sz="0" w:space="0" w:color="auto"/>
        <w:bottom w:val="none" w:sz="0" w:space="0" w:color="auto"/>
        <w:right w:val="none" w:sz="0" w:space="0" w:color="auto"/>
      </w:divBdr>
    </w:div>
    <w:div w:id="1200243025">
      <w:bodyDiv w:val="1"/>
      <w:marLeft w:val="0"/>
      <w:marRight w:val="0"/>
      <w:marTop w:val="0"/>
      <w:marBottom w:val="0"/>
      <w:divBdr>
        <w:top w:val="none" w:sz="0" w:space="0" w:color="auto"/>
        <w:left w:val="none" w:sz="0" w:space="0" w:color="auto"/>
        <w:bottom w:val="none" w:sz="0" w:space="0" w:color="auto"/>
        <w:right w:val="none" w:sz="0" w:space="0" w:color="auto"/>
      </w:divBdr>
    </w:div>
    <w:div w:id="1201938416">
      <w:bodyDiv w:val="1"/>
      <w:marLeft w:val="0"/>
      <w:marRight w:val="0"/>
      <w:marTop w:val="0"/>
      <w:marBottom w:val="0"/>
      <w:divBdr>
        <w:top w:val="none" w:sz="0" w:space="0" w:color="auto"/>
        <w:left w:val="none" w:sz="0" w:space="0" w:color="auto"/>
        <w:bottom w:val="none" w:sz="0" w:space="0" w:color="auto"/>
        <w:right w:val="none" w:sz="0" w:space="0" w:color="auto"/>
      </w:divBdr>
    </w:div>
    <w:div w:id="1213346463">
      <w:bodyDiv w:val="1"/>
      <w:marLeft w:val="0"/>
      <w:marRight w:val="0"/>
      <w:marTop w:val="0"/>
      <w:marBottom w:val="0"/>
      <w:divBdr>
        <w:top w:val="none" w:sz="0" w:space="0" w:color="auto"/>
        <w:left w:val="none" w:sz="0" w:space="0" w:color="auto"/>
        <w:bottom w:val="none" w:sz="0" w:space="0" w:color="auto"/>
        <w:right w:val="none" w:sz="0" w:space="0" w:color="auto"/>
      </w:divBdr>
    </w:div>
    <w:div w:id="1223953370">
      <w:bodyDiv w:val="1"/>
      <w:marLeft w:val="0"/>
      <w:marRight w:val="0"/>
      <w:marTop w:val="0"/>
      <w:marBottom w:val="0"/>
      <w:divBdr>
        <w:top w:val="none" w:sz="0" w:space="0" w:color="auto"/>
        <w:left w:val="none" w:sz="0" w:space="0" w:color="auto"/>
        <w:bottom w:val="none" w:sz="0" w:space="0" w:color="auto"/>
        <w:right w:val="none" w:sz="0" w:space="0" w:color="auto"/>
      </w:divBdr>
    </w:div>
    <w:div w:id="1227565206">
      <w:bodyDiv w:val="1"/>
      <w:marLeft w:val="0"/>
      <w:marRight w:val="0"/>
      <w:marTop w:val="0"/>
      <w:marBottom w:val="0"/>
      <w:divBdr>
        <w:top w:val="none" w:sz="0" w:space="0" w:color="auto"/>
        <w:left w:val="none" w:sz="0" w:space="0" w:color="auto"/>
        <w:bottom w:val="none" w:sz="0" w:space="0" w:color="auto"/>
        <w:right w:val="none" w:sz="0" w:space="0" w:color="auto"/>
      </w:divBdr>
    </w:div>
    <w:div w:id="1267159556">
      <w:bodyDiv w:val="1"/>
      <w:marLeft w:val="0"/>
      <w:marRight w:val="0"/>
      <w:marTop w:val="0"/>
      <w:marBottom w:val="0"/>
      <w:divBdr>
        <w:top w:val="none" w:sz="0" w:space="0" w:color="auto"/>
        <w:left w:val="none" w:sz="0" w:space="0" w:color="auto"/>
        <w:bottom w:val="none" w:sz="0" w:space="0" w:color="auto"/>
        <w:right w:val="none" w:sz="0" w:space="0" w:color="auto"/>
      </w:divBdr>
    </w:div>
    <w:div w:id="1280796259">
      <w:bodyDiv w:val="1"/>
      <w:marLeft w:val="0"/>
      <w:marRight w:val="0"/>
      <w:marTop w:val="0"/>
      <w:marBottom w:val="0"/>
      <w:divBdr>
        <w:top w:val="none" w:sz="0" w:space="0" w:color="auto"/>
        <w:left w:val="none" w:sz="0" w:space="0" w:color="auto"/>
        <w:bottom w:val="none" w:sz="0" w:space="0" w:color="auto"/>
        <w:right w:val="none" w:sz="0" w:space="0" w:color="auto"/>
      </w:divBdr>
    </w:div>
    <w:div w:id="1295523019">
      <w:bodyDiv w:val="1"/>
      <w:marLeft w:val="0"/>
      <w:marRight w:val="0"/>
      <w:marTop w:val="0"/>
      <w:marBottom w:val="0"/>
      <w:divBdr>
        <w:top w:val="none" w:sz="0" w:space="0" w:color="auto"/>
        <w:left w:val="none" w:sz="0" w:space="0" w:color="auto"/>
        <w:bottom w:val="none" w:sz="0" w:space="0" w:color="auto"/>
        <w:right w:val="none" w:sz="0" w:space="0" w:color="auto"/>
      </w:divBdr>
    </w:div>
    <w:div w:id="1295721183">
      <w:bodyDiv w:val="1"/>
      <w:marLeft w:val="0"/>
      <w:marRight w:val="0"/>
      <w:marTop w:val="0"/>
      <w:marBottom w:val="0"/>
      <w:divBdr>
        <w:top w:val="none" w:sz="0" w:space="0" w:color="auto"/>
        <w:left w:val="none" w:sz="0" w:space="0" w:color="auto"/>
        <w:bottom w:val="none" w:sz="0" w:space="0" w:color="auto"/>
        <w:right w:val="none" w:sz="0" w:space="0" w:color="auto"/>
      </w:divBdr>
    </w:div>
    <w:div w:id="1304508975">
      <w:bodyDiv w:val="1"/>
      <w:marLeft w:val="0"/>
      <w:marRight w:val="0"/>
      <w:marTop w:val="0"/>
      <w:marBottom w:val="0"/>
      <w:divBdr>
        <w:top w:val="none" w:sz="0" w:space="0" w:color="auto"/>
        <w:left w:val="none" w:sz="0" w:space="0" w:color="auto"/>
        <w:bottom w:val="none" w:sz="0" w:space="0" w:color="auto"/>
        <w:right w:val="none" w:sz="0" w:space="0" w:color="auto"/>
      </w:divBdr>
    </w:div>
    <w:div w:id="1306160270">
      <w:bodyDiv w:val="1"/>
      <w:marLeft w:val="0"/>
      <w:marRight w:val="0"/>
      <w:marTop w:val="0"/>
      <w:marBottom w:val="0"/>
      <w:divBdr>
        <w:top w:val="none" w:sz="0" w:space="0" w:color="auto"/>
        <w:left w:val="none" w:sz="0" w:space="0" w:color="auto"/>
        <w:bottom w:val="none" w:sz="0" w:space="0" w:color="auto"/>
        <w:right w:val="none" w:sz="0" w:space="0" w:color="auto"/>
      </w:divBdr>
    </w:div>
    <w:div w:id="1308781555">
      <w:bodyDiv w:val="1"/>
      <w:marLeft w:val="0"/>
      <w:marRight w:val="0"/>
      <w:marTop w:val="0"/>
      <w:marBottom w:val="0"/>
      <w:divBdr>
        <w:top w:val="none" w:sz="0" w:space="0" w:color="auto"/>
        <w:left w:val="none" w:sz="0" w:space="0" w:color="auto"/>
        <w:bottom w:val="none" w:sz="0" w:space="0" w:color="auto"/>
        <w:right w:val="none" w:sz="0" w:space="0" w:color="auto"/>
      </w:divBdr>
    </w:div>
    <w:div w:id="1308898137">
      <w:bodyDiv w:val="1"/>
      <w:marLeft w:val="0"/>
      <w:marRight w:val="0"/>
      <w:marTop w:val="0"/>
      <w:marBottom w:val="0"/>
      <w:divBdr>
        <w:top w:val="none" w:sz="0" w:space="0" w:color="auto"/>
        <w:left w:val="none" w:sz="0" w:space="0" w:color="auto"/>
        <w:bottom w:val="none" w:sz="0" w:space="0" w:color="auto"/>
        <w:right w:val="none" w:sz="0" w:space="0" w:color="auto"/>
      </w:divBdr>
    </w:div>
    <w:div w:id="1318921366">
      <w:bodyDiv w:val="1"/>
      <w:marLeft w:val="0"/>
      <w:marRight w:val="0"/>
      <w:marTop w:val="0"/>
      <w:marBottom w:val="0"/>
      <w:divBdr>
        <w:top w:val="none" w:sz="0" w:space="0" w:color="auto"/>
        <w:left w:val="none" w:sz="0" w:space="0" w:color="auto"/>
        <w:bottom w:val="none" w:sz="0" w:space="0" w:color="auto"/>
        <w:right w:val="none" w:sz="0" w:space="0" w:color="auto"/>
      </w:divBdr>
    </w:div>
    <w:div w:id="1322124455">
      <w:bodyDiv w:val="1"/>
      <w:marLeft w:val="0"/>
      <w:marRight w:val="0"/>
      <w:marTop w:val="0"/>
      <w:marBottom w:val="0"/>
      <w:divBdr>
        <w:top w:val="none" w:sz="0" w:space="0" w:color="auto"/>
        <w:left w:val="none" w:sz="0" w:space="0" w:color="auto"/>
        <w:bottom w:val="none" w:sz="0" w:space="0" w:color="auto"/>
        <w:right w:val="none" w:sz="0" w:space="0" w:color="auto"/>
      </w:divBdr>
    </w:div>
    <w:div w:id="1348023068">
      <w:bodyDiv w:val="1"/>
      <w:marLeft w:val="0"/>
      <w:marRight w:val="0"/>
      <w:marTop w:val="0"/>
      <w:marBottom w:val="0"/>
      <w:divBdr>
        <w:top w:val="none" w:sz="0" w:space="0" w:color="auto"/>
        <w:left w:val="none" w:sz="0" w:space="0" w:color="auto"/>
        <w:bottom w:val="none" w:sz="0" w:space="0" w:color="auto"/>
        <w:right w:val="none" w:sz="0" w:space="0" w:color="auto"/>
      </w:divBdr>
    </w:div>
    <w:div w:id="1372341873">
      <w:bodyDiv w:val="1"/>
      <w:marLeft w:val="0"/>
      <w:marRight w:val="0"/>
      <w:marTop w:val="0"/>
      <w:marBottom w:val="0"/>
      <w:divBdr>
        <w:top w:val="none" w:sz="0" w:space="0" w:color="auto"/>
        <w:left w:val="none" w:sz="0" w:space="0" w:color="auto"/>
        <w:bottom w:val="none" w:sz="0" w:space="0" w:color="auto"/>
        <w:right w:val="none" w:sz="0" w:space="0" w:color="auto"/>
      </w:divBdr>
    </w:div>
    <w:div w:id="1384137699">
      <w:bodyDiv w:val="1"/>
      <w:marLeft w:val="0"/>
      <w:marRight w:val="0"/>
      <w:marTop w:val="0"/>
      <w:marBottom w:val="0"/>
      <w:divBdr>
        <w:top w:val="none" w:sz="0" w:space="0" w:color="auto"/>
        <w:left w:val="none" w:sz="0" w:space="0" w:color="auto"/>
        <w:bottom w:val="none" w:sz="0" w:space="0" w:color="auto"/>
        <w:right w:val="none" w:sz="0" w:space="0" w:color="auto"/>
      </w:divBdr>
    </w:div>
    <w:div w:id="1384254635">
      <w:bodyDiv w:val="1"/>
      <w:marLeft w:val="0"/>
      <w:marRight w:val="0"/>
      <w:marTop w:val="0"/>
      <w:marBottom w:val="0"/>
      <w:divBdr>
        <w:top w:val="none" w:sz="0" w:space="0" w:color="auto"/>
        <w:left w:val="none" w:sz="0" w:space="0" w:color="auto"/>
        <w:bottom w:val="none" w:sz="0" w:space="0" w:color="auto"/>
        <w:right w:val="none" w:sz="0" w:space="0" w:color="auto"/>
      </w:divBdr>
    </w:div>
    <w:div w:id="1387533882">
      <w:bodyDiv w:val="1"/>
      <w:marLeft w:val="0"/>
      <w:marRight w:val="0"/>
      <w:marTop w:val="0"/>
      <w:marBottom w:val="0"/>
      <w:divBdr>
        <w:top w:val="none" w:sz="0" w:space="0" w:color="auto"/>
        <w:left w:val="none" w:sz="0" w:space="0" w:color="auto"/>
        <w:bottom w:val="none" w:sz="0" w:space="0" w:color="auto"/>
        <w:right w:val="none" w:sz="0" w:space="0" w:color="auto"/>
      </w:divBdr>
    </w:div>
    <w:div w:id="1396590264">
      <w:bodyDiv w:val="1"/>
      <w:marLeft w:val="0"/>
      <w:marRight w:val="0"/>
      <w:marTop w:val="0"/>
      <w:marBottom w:val="0"/>
      <w:divBdr>
        <w:top w:val="none" w:sz="0" w:space="0" w:color="auto"/>
        <w:left w:val="none" w:sz="0" w:space="0" w:color="auto"/>
        <w:bottom w:val="none" w:sz="0" w:space="0" w:color="auto"/>
        <w:right w:val="none" w:sz="0" w:space="0" w:color="auto"/>
      </w:divBdr>
    </w:div>
    <w:div w:id="1414814046">
      <w:bodyDiv w:val="1"/>
      <w:marLeft w:val="0"/>
      <w:marRight w:val="0"/>
      <w:marTop w:val="0"/>
      <w:marBottom w:val="0"/>
      <w:divBdr>
        <w:top w:val="none" w:sz="0" w:space="0" w:color="auto"/>
        <w:left w:val="none" w:sz="0" w:space="0" w:color="auto"/>
        <w:bottom w:val="none" w:sz="0" w:space="0" w:color="auto"/>
        <w:right w:val="none" w:sz="0" w:space="0" w:color="auto"/>
      </w:divBdr>
    </w:div>
    <w:div w:id="1420559388">
      <w:bodyDiv w:val="1"/>
      <w:marLeft w:val="0"/>
      <w:marRight w:val="0"/>
      <w:marTop w:val="0"/>
      <w:marBottom w:val="0"/>
      <w:divBdr>
        <w:top w:val="none" w:sz="0" w:space="0" w:color="auto"/>
        <w:left w:val="none" w:sz="0" w:space="0" w:color="auto"/>
        <w:bottom w:val="none" w:sz="0" w:space="0" w:color="auto"/>
        <w:right w:val="none" w:sz="0" w:space="0" w:color="auto"/>
      </w:divBdr>
    </w:div>
    <w:div w:id="1440680720">
      <w:bodyDiv w:val="1"/>
      <w:marLeft w:val="0"/>
      <w:marRight w:val="0"/>
      <w:marTop w:val="0"/>
      <w:marBottom w:val="0"/>
      <w:divBdr>
        <w:top w:val="none" w:sz="0" w:space="0" w:color="auto"/>
        <w:left w:val="none" w:sz="0" w:space="0" w:color="auto"/>
        <w:bottom w:val="none" w:sz="0" w:space="0" w:color="auto"/>
        <w:right w:val="none" w:sz="0" w:space="0" w:color="auto"/>
      </w:divBdr>
    </w:div>
    <w:div w:id="1447653377">
      <w:bodyDiv w:val="1"/>
      <w:marLeft w:val="0"/>
      <w:marRight w:val="0"/>
      <w:marTop w:val="0"/>
      <w:marBottom w:val="0"/>
      <w:divBdr>
        <w:top w:val="none" w:sz="0" w:space="0" w:color="auto"/>
        <w:left w:val="none" w:sz="0" w:space="0" w:color="auto"/>
        <w:bottom w:val="none" w:sz="0" w:space="0" w:color="auto"/>
        <w:right w:val="none" w:sz="0" w:space="0" w:color="auto"/>
      </w:divBdr>
    </w:div>
    <w:div w:id="1480464244">
      <w:bodyDiv w:val="1"/>
      <w:marLeft w:val="0"/>
      <w:marRight w:val="0"/>
      <w:marTop w:val="0"/>
      <w:marBottom w:val="0"/>
      <w:divBdr>
        <w:top w:val="none" w:sz="0" w:space="0" w:color="auto"/>
        <w:left w:val="none" w:sz="0" w:space="0" w:color="auto"/>
        <w:bottom w:val="none" w:sz="0" w:space="0" w:color="auto"/>
        <w:right w:val="none" w:sz="0" w:space="0" w:color="auto"/>
      </w:divBdr>
    </w:div>
    <w:div w:id="1526484056">
      <w:bodyDiv w:val="1"/>
      <w:marLeft w:val="0"/>
      <w:marRight w:val="0"/>
      <w:marTop w:val="0"/>
      <w:marBottom w:val="0"/>
      <w:divBdr>
        <w:top w:val="none" w:sz="0" w:space="0" w:color="auto"/>
        <w:left w:val="none" w:sz="0" w:space="0" w:color="auto"/>
        <w:bottom w:val="none" w:sz="0" w:space="0" w:color="auto"/>
        <w:right w:val="none" w:sz="0" w:space="0" w:color="auto"/>
      </w:divBdr>
    </w:div>
    <w:div w:id="1565138867">
      <w:bodyDiv w:val="1"/>
      <w:marLeft w:val="0"/>
      <w:marRight w:val="0"/>
      <w:marTop w:val="0"/>
      <w:marBottom w:val="0"/>
      <w:divBdr>
        <w:top w:val="none" w:sz="0" w:space="0" w:color="auto"/>
        <w:left w:val="none" w:sz="0" w:space="0" w:color="auto"/>
        <w:bottom w:val="none" w:sz="0" w:space="0" w:color="auto"/>
        <w:right w:val="none" w:sz="0" w:space="0" w:color="auto"/>
      </w:divBdr>
    </w:div>
    <w:div w:id="1575164987">
      <w:bodyDiv w:val="1"/>
      <w:marLeft w:val="0"/>
      <w:marRight w:val="0"/>
      <w:marTop w:val="0"/>
      <w:marBottom w:val="0"/>
      <w:divBdr>
        <w:top w:val="none" w:sz="0" w:space="0" w:color="auto"/>
        <w:left w:val="none" w:sz="0" w:space="0" w:color="auto"/>
        <w:bottom w:val="none" w:sz="0" w:space="0" w:color="auto"/>
        <w:right w:val="none" w:sz="0" w:space="0" w:color="auto"/>
      </w:divBdr>
      <w:divsChild>
        <w:div w:id="1403134997">
          <w:marLeft w:val="547"/>
          <w:marRight w:val="0"/>
          <w:marTop w:val="0"/>
          <w:marBottom w:val="0"/>
          <w:divBdr>
            <w:top w:val="none" w:sz="0" w:space="0" w:color="auto"/>
            <w:left w:val="none" w:sz="0" w:space="0" w:color="auto"/>
            <w:bottom w:val="none" w:sz="0" w:space="0" w:color="auto"/>
            <w:right w:val="none" w:sz="0" w:space="0" w:color="auto"/>
          </w:divBdr>
        </w:div>
      </w:divsChild>
    </w:div>
    <w:div w:id="1601596647">
      <w:bodyDiv w:val="1"/>
      <w:marLeft w:val="0"/>
      <w:marRight w:val="0"/>
      <w:marTop w:val="0"/>
      <w:marBottom w:val="0"/>
      <w:divBdr>
        <w:top w:val="none" w:sz="0" w:space="0" w:color="auto"/>
        <w:left w:val="none" w:sz="0" w:space="0" w:color="auto"/>
        <w:bottom w:val="none" w:sz="0" w:space="0" w:color="auto"/>
        <w:right w:val="none" w:sz="0" w:space="0" w:color="auto"/>
      </w:divBdr>
    </w:div>
    <w:div w:id="1604146970">
      <w:bodyDiv w:val="1"/>
      <w:marLeft w:val="0"/>
      <w:marRight w:val="0"/>
      <w:marTop w:val="0"/>
      <w:marBottom w:val="0"/>
      <w:divBdr>
        <w:top w:val="none" w:sz="0" w:space="0" w:color="auto"/>
        <w:left w:val="none" w:sz="0" w:space="0" w:color="auto"/>
        <w:bottom w:val="none" w:sz="0" w:space="0" w:color="auto"/>
        <w:right w:val="none" w:sz="0" w:space="0" w:color="auto"/>
      </w:divBdr>
    </w:div>
    <w:div w:id="1661537815">
      <w:bodyDiv w:val="1"/>
      <w:marLeft w:val="0"/>
      <w:marRight w:val="0"/>
      <w:marTop w:val="0"/>
      <w:marBottom w:val="0"/>
      <w:divBdr>
        <w:top w:val="none" w:sz="0" w:space="0" w:color="auto"/>
        <w:left w:val="none" w:sz="0" w:space="0" w:color="auto"/>
        <w:bottom w:val="none" w:sz="0" w:space="0" w:color="auto"/>
        <w:right w:val="none" w:sz="0" w:space="0" w:color="auto"/>
      </w:divBdr>
    </w:div>
    <w:div w:id="1691645112">
      <w:bodyDiv w:val="1"/>
      <w:marLeft w:val="0"/>
      <w:marRight w:val="0"/>
      <w:marTop w:val="0"/>
      <w:marBottom w:val="0"/>
      <w:divBdr>
        <w:top w:val="none" w:sz="0" w:space="0" w:color="auto"/>
        <w:left w:val="none" w:sz="0" w:space="0" w:color="auto"/>
        <w:bottom w:val="none" w:sz="0" w:space="0" w:color="auto"/>
        <w:right w:val="none" w:sz="0" w:space="0" w:color="auto"/>
      </w:divBdr>
    </w:div>
    <w:div w:id="1701126762">
      <w:bodyDiv w:val="1"/>
      <w:marLeft w:val="0"/>
      <w:marRight w:val="0"/>
      <w:marTop w:val="0"/>
      <w:marBottom w:val="0"/>
      <w:divBdr>
        <w:top w:val="none" w:sz="0" w:space="0" w:color="auto"/>
        <w:left w:val="none" w:sz="0" w:space="0" w:color="auto"/>
        <w:bottom w:val="none" w:sz="0" w:space="0" w:color="auto"/>
        <w:right w:val="none" w:sz="0" w:space="0" w:color="auto"/>
      </w:divBdr>
    </w:div>
    <w:div w:id="1711028646">
      <w:bodyDiv w:val="1"/>
      <w:marLeft w:val="0"/>
      <w:marRight w:val="0"/>
      <w:marTop w:val="0"/>
      <w:marBottom w:val="0"/>
      <w:divBdr>
        <w:top w:val="none" w:sz="0" w:space="0" w:color="auto"/>
        <w:left w:val="none" w:sz="0" w:space="0" w:color="auto"/>
        <w:bottom w:val="none" w:sz="0" w:space="0" w:color="auto"/>
        <w:right w:val="none" w:sz="0" w:space="0" w:color="auto"/>
      </w:divBdr>
    </w:div>
    <w:div w:id="1719671575">
      <w:bodyDiv w:val="1"/>
      <w:marLeft w:val="0"/>
      <w:marRight w:val="0"/>
      <w:marTop w:val="0"/>
      <w:marBottom w:val="0"/>
      <w:divBdr>
        <w:top w:val="none" w:sz="0" w:space="0" w:color="auto"/>
        <w:left w:val="none" w:sz="0" w:space="0" w:color="auto"/>
        <w:bottom w:val="none" w:sz="0" w:space="0" w:color="auto"/>
        <w:right w:val="none" w:sz="0" w:space="0" w:color="auto"/>
      </w:divBdr>
    </w:div>
    <w:div w:id="1745369766">
      <w:bodyDiv w:val="1"/>
      <w:marLeft w:val="0"/>
      <w:marRight w:val="0"/>
      <w:marTop w:val="0"/>
      <w:marBottom w:val="0"/>
      <w:divBdr>
        <w:top w:val="none" w:sz="0" w:space="0" w:color="auto"/>
        <w:left w:val="none" w:sz="0" w:space="0" w:color="auto"/>
        <w:bottom w:val="none" w:sz="0" w:space="0" w:color="auto"/>
        <w:right w:val="none" w:sz="0" w:space="0" w:color="auto"/>
      </w:divBdr>
    </w:div>
    <w:div w:id="1757702187">
      <w:bodyDiv w:val="1"/>
      <w:marLeft w:val="0"/>
      <w:marRight w:val="0"/>
      <w:marTop w:val="0"/>
      <w:marBottom w:val="0"/>
      <w:divBdr>
        <w:top w:val="none" w:sz="0" w:space="0" w:color="auto"/>
        <w:left w:val="none" w:sz="0" w:space="0" w:color="auto"/>
        <w:bottom w:val="none" w:sz="0" w:space="0" w:color="auto"/>
        <w:right w:val="none" w:sz="0" w:space="0" w:color="auto"/>
      </w:divBdr>
    </w:div>
    <w:div w:id="1759667837">
      <w:bodyDiv w:val="1"/>
      <w:marLeft w:val="0"/>
      <w:marRight w:val="0"/>
      <w:marTop w:val="0"/>
      <w:marBottom w:val="0"/>
      <w:divBdr>
        <w:top w:val="none" w:sz="0" w:space="0" w:color="auto"/>
        <w:left w:val="none" w:sz="0" w:space="0" w:color="auto"/>
        <w:bottom w:val="none" w:sz="0" w:space="0" w:color="auto"/>
        <w:right w:val="none" w:sz="0" w:space="0" w:color="auto"/>
      </w:divBdr>
    </w:div>
    <w:div w:id="1763451214">
      <w:bodyDiv w:val="1"/>
      <w:marLeft w:val="0"/>
      <w:marRight w:val="0"/>
      <w:marTop w:val="0"/>
      <w:marBottom w:val="0"/>
      <w:divBdr>
        <w:top w:val="none" w:sz="0" w:space="0" w:color="auto"/>
        <w:left w:val="none" w:sz="0" w:space="0" w:color="auto"/>
        <w:bottom w:val="none" w:sz="0" w:space="0" w:color="auto"/>
        <w:right w:val="none" w:sz="0" w:space="0" w:color="auto"/>
      </w:divBdr>
    </w:div>
    <w:div w:id="1772897650">
      <w:bodyDiv w:val="1"/>
      <w:marLeft w:val="0"/>
      <w:marRight w:val="0"/>
      <w:marTop w:val="0"/>
      <w:marBottom w:val="0"/>
      <w:divBdr>
        <w:top w:val="none" w:sz="0" w:space="0" w:color="auto"/>
        <w:left w:val="none" w:sz="0" w:space="0" w:color="auto"/>
        <w:bottom w:val="none" w:sz="0" w:space="0" w:color="auto"/>
        <w:right w:val="none" w:sz="0" w:space="0" w:color="auto"/>
      </w:divBdr>
    </w:div>
    <w:div w:id="1775784760">
      <w:bodyDiv w:val="1"/>
      <w:marLeft w:val="0"/>
      <w:marRight w:val="0"/>
      <w:marTop w:val="0"/>
      <w:marBottom w:val="0"/>
      <w:divBdr>
        <w:top w:val="none" w:sz="0" w:space="0" w:color="auto"/>
        <w:left w:val="none" w:sz="0" w:space="0" w:color="auto"/>
        <w:bottom w:val="none" w:sz="0" w:space="0" w:color="auto"/>
        <w:right w:val="none" w:sz="0" w:space="0" w:color="auto"/>
      </w:divBdr>
    </w:div>
    <w:div w:id="1779836163">
      <w:bodyDiv w:val="1"/>
      <w:marLeft w:val="0"/>
      <w:marRight w:val="0"/>
      <w:marTop w:val="0"/>
      <w:marBottom w:val="0"/>
      <w:divBdr>
        <w:top w:val="none" w:sz="0" w:space="0" w:color="auto"/>
        <w:left w:val="none" w:sz="0" w:space="0" w:color="auto"/>
        <w:bottom w:val="none" w:sz="0" w:space="0" w:color="auto"/>
        <w:right w:val="none" w:sz="0" w:space="0" w:color="auto"/>
      </w:divBdr>
    </w:div>
    <w:div w:id="1810585101">
      <w:bodyDiv w:val="1"/>
      <w:marLeft w:val="0"/>
      <w:marRight w:val="0"/>
      <w:marTop w:val="0"/>
      <w:marBottom w:val="0"/>
      <w:divBdr>
        <w:top w:val="none" w:sz="0" w:space="0" w:color="auto"/>
        <w:left w:val="none" w:sz="0" w:space="0" w:color="auto"/>
        <w:bottom w:val="none" w:sz="0" w:space="0" w:color="auto"/>
        <w:right w:val="none" w:sz="0" w:space="0" w:color="auto"/>
      </w:divBdr>
    </w:div>
    <w:div w:id="1814833100">
      <w:bodyDiv w:val="1"/>
      <w:marLeft w:val="0"/>
      <w:marRight w:val="0"/>
      <w:marTop w:val="0"/>
      <w:marBottom w:val="0"/>
      <w:divBdr>
        <w:top w:val="none" w:sz="0" w:space="0" w:color="auto"/>
        <w:left w:val="none" w:sz="0" w:space="0" w:color="auto"/>
        <w:bottom w:val="none" w:sz="0" w:space="0" w:color="auto"/>
        <w:right w:val="none" w:sz="0" w:space="0" w:color="auto"/>
      </w:divBdr>
    </w:div>
    <w:div w:id="1819759968">
      <w:bodyDiv w:val="1"/>
      <w:marLeft w:val="0"/>
      <w:marRight w:val="0"/>
      <w:marTop w:val="0"/>
      <w:marBottom w:val="0"/>
      <w:divBdr>
        <w:top w:val="none" w:sz="0" w:space="0" w:color="auto"/>
        <w:left w:val="none" w:sz="0" w:space="0" w:color="auto"/>
        <w:bottom w:val="none" w:sz="0" w:space="0" w:color="auto"/>
        <w:right w:val="none" w:sz="0" w:space="0" w:color="auto"/>
      </w:divBdr>
    </w:div>
    <w:div w:id="1870292430">
      <w:bodyDiv w:val="1"/>
      <w:marLeft w:val="0"/>
      <w:marRight w:val="0"/>
      <w:marTop w:val="0"/>
      <w:marBottom w:val="0"/>
      <w:divBdr>
        <w:top w:val="none" w:sz="0" w:space="0" w:color="auto"/>
        <w:left w:val="none" w:sz="0" w:space="0" w:color="auto"/>
        <w:bottom w:val="none" w:sz="0" w:space="0" w:color="auto"/>
        <w:right w:val="none" w:sz="0" w:space="0" w:color="auto"/>
      </w:divBdr>
    </w:div>
    <w:div w:id="1887524784">
      <w:bodyDiv w:val="1"/>
      <w:marLeft w:val="0"/>
      <w:marRight w:val="0"/>
      <w:marTop w:val="0"/>
      <w:marBottom w:val="0"/>
      <w:divBdr>
        <w:top w:val="none" w:sz="0" w:space="0" w:color="auto"/>
        <w:left w:val="none" w:sz="0" w:space="0" w:color="auto"/>
        <w:bottom w:val="none" w:sz="0" w:space="0" w:color="auto"/>
        <w:right w:val="none" w:sz="0" w:space="0" w:color="auto"/>
      </w:divBdr>
    </w:div>
    <w:div w:id="1901480372">
      <w:bodyDiv w:val="1"/>
      <w:marLeft w:val="0"/>
      <w:marRight w:val="0"/>
      <w:marTop w:val="0"/>
      <w:marBottom w:val="0"/>
      <w:divBdr>
        <w:top w:val="none" w:sz="0" w:space="0" w:color="auto"/>
        <w:left w:val="none" w:sz="0" w:space="0" w:color="auto"/>
        <w:bottom w:val="none" w:sz="0" w:space="0" w:color="auto"/>
        <w:right w:val="none" w:sz="0" w:space="0" w:color="auto"/>
      </w:divBdr>
    </w:div>
    <w:div w:id="1907296436">
      <w:bodyDiv w:val="1"/>
      <w:marLeft w:val="0"/>
      <w:marRight w:val="0"/>
      <w:marTop w:val="0"/>
      <w:marBottom w:val="0"/>
      <w:divBdr>
        <w:top w:val="none" w:sz="0" w:space="0" w:color="auto"/>
        <w:left w:val="none" w:sz="0" w:space="0" w:color="auto"/>
        <w:bottom w:val="none" w:sz="0" w:space="0" w:color="auto"/>
        <w:right w:val="none" w:sz="0" w:space="0" w:color="auto"/>
      </w:divBdr>
    </w:div>
    <w:div w:id="1939018586">
      <w:bodyDiv w:val="1"/>
      <w:marLeft w:val="0"/>
      <w:marRight w:val="0"/>
      <w:marTop w:val="0"/>
      <w:marBottom w:val="0"/>
      <w:divBdr>
        <w:top w:val="none" w:sz="0" w:space="0" w:color="auto"/>
        <w:left w:val="none" w:sz="0" w:space="0" w:color="auto"/>
        <w:bottom w:val="none" w:sz="0" w:space="0" w:color="auto"/>
        <w:right w:val="none" w:sz="0" w:space="0" w:color="auto"/>
      </w:divBdr>
    </w:div>
    <w:div w:id="1953701847">
      <w:bodyDiv w:val="1"/>
      <w:marLeft w:val="0"/>
      <w:marRight w:val="0"/>
      <w:marTop w:val="0"/>
      <w:marBottom w:val="0"/>
      <w:divBdr>
        <w:top w:val="none" w:sz="0" w:space="0" w:color="auto"/>
        <w:left w:val="none" w:sz="0" w:space="0" w:color="auto"/>
        <w:bottom w:val="none" w:sz="0" w:space="0" w:color="auto"/>
        <w:right w:val="none" w:sz="0" w:space="0" w:color="auto"/>
      </w:divBdr>
    </w:div>
    <w:div w:id="1984190938">
      <w:bodyDiv w:val="1"/>
      <w:marLeft w:val="0"/>
      <w:marRight w:val="0"/>
      <w:marTop w:val="0"/>
      <w:marBottom w:val="0"/>
      <w:divBdr>
        <w:top w:val="none" w:sz="0" w:space="0" w:color="auto"/>
        <w:left w:val="none" w:sz="0" w:space="0" w:color="auto"/>
        <w:bottom w:val="none" w:sz="0" w:space="0" w:color="auto"/>
        <w:right w:val="none" w:sz="0" w:space="0" w:color="auto"/>
      </w:divBdr>
    </w:div>
    <w:div w:id="2009404204">
      <w:bodyDiv w:val="1"/>
      <w:marLeft w:val="0"/>
      <w:marRight w:val="0"/>
      <w:marTop w:val="0"/>
      <w:marBottom w:val="0"/>
      <w:divBdr>
        <w:top w:val="none" w:sz="0" w:space="0" w:color="auto"/>
        <w:left w:val="none" w:sz="0" w:space="0" w:color="auto"/>
        <w:bottom w:val="none" w:sz="0" w:space="0" w:color="auto"/>
        <w:right w:val="none" w:sz="0" w:space="0" w:color="auto"/>
      </w:divBdr>
    </w:div>
    <w:div w:id="2031492616">
      <w:bodyDiv w:val="1"/>
      <w:marLeft w:val="0"/>
      <w:marRight w:val="0"/>
      <w:marTop w:val="0"/>
      <w:marBottom w:val="0"/>
      <w:divBdr>
        <w:top w:val="none" w:sz="0" w:space="0" w:color="auto"/>
        <w:left w:val="none" w:sz="0" w:space="0" w:color="auto"/>
        <w:bottom w:val="none" w:sz="0" w:space="0" w:color="auto"/>
        <w:right w:val="none" w:sz="0" w:space="0" w:color="auto"/>
      </w:divBdr>
    </w:div>
    <w:div w:id="2053722655">
      <w:bodyDiv w:val="1"/>
      <w:marLeft w:val="0"/>
      <w:marRight w:val="0"/>
      <w:marTop w:val="0"/>
      <w:marBottom w:val="0"/>
      <w:divBdr>
        <w:top w:val="none" w:sz="0" w:space="0" w:color="auto"/>
        <w:left w:val="none" w:sz="0" w:space="0" w:color="auto"/>
        <w:bottom w:val="none" w:sz="0" w:space="0" w:color="auto"/>
        <w:right w:val="none" w:sz="0" w:space="0" w:color="auto"/>
      </w:divBdr>
    </w:div>
    <w:div w:id="2070759357">
      <w:bodyDiv w:val="1"/>
      <w:marLeft w:val="0"/>
      <w:marRight w:val="0"/>
      <w:marTop w:val="0"/>
      <w:marBottom w:val="0"/>
      <w:divBdr>
        <w:top w:val="none" w:sz="0" w:space="0" w:color="auto"/>
        <w:left w:val="none" w:sz="0" w:space="0" w:color="auto"/>
        <w:bottom w:val="none" w:sz="0" w:space="0" w:color="auto"/>
        <w:right w:val="none" w:sz="0" w:space="0" w:color="auto"/>
      </w:divBdr>
    </w:div>
    <w:div w:id="2088112774">
      <w:bodyDiv w:val="1"/>
      <w:marLeft w:val="0"/>
      <w:marRight w:val="0"/>
      <w:marTop w:val="0"/>
      <w:marBottom w:val="0"/>
      <w:divBdr>
        <w:top w:val="none" w:sz="0" w:space="0" w:color="auto"/>
        <w:left w:val="none" w:sz="0" w:space="0" w:color="auto"/>
        <w:bottom w:val="none" w:sz="0" w:space="0" w:color="auto"/>
        <w:right w:val="none" w:sz="0" w:space="0" w:color="auto"/>
      </w:divBdr>
    </w:div>
    <w:div w:id="213768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Dysk%20Google\Ex-post%20wiejski\0.2%20Oferta%20merytoryczna\nowy%20szablon%20-%20mniejszy%20font,%20mniejsze%20marginesy,%20poprawione%20naglowki.dotx" TargetMode="External"/></Relationships>
</file>

<file path=word/theme/theme1.xml><?xml version="1.0" encoding="utf-8"?>
<a:theme xmlns:a="http://schemas.openxmlformats.org/drawingml/2006/main" name="Motyw pakietu Office">
  <a:themeElements>
    <a:clrScheme name="wolanski style">
      <a:dk1>
        <a:sysClr val="windowText" lastClr="000000"/>
      </a:dk1>
      <a:lt1>
        <a:srgbClr val="FFFFFF"/>
      </a:lt1>
      <a:dk2>
        <a:srgbClr val="44546A"/>
      </a:dk2>
      <a:lt2>
        <a:srgbClr val="EFEFEF"/>
      </a:lt2>
      <a:accent1>
        <a:srgbClr val="B0B0B0"/>
      </a:accent1>
      <a:accent2>
        <a:srgbClr val="FFC800"/>
      </a:accent2>
      <a:accent3>
        <a:srgbClr val="818181"/>
      </a:accent3>
      <a:accent4>
        <a:srgbClr val="DBDBDB"/>
      </a:accent4>
      <a:accent5>
        <a:srgbClr val="FF8C00"/>
      </a:accent5>
      <a:accent6>
        <a:srgbClr val="000000"/>
      </a:accent6>
      <a:hlink>
        <a:srgbClr val="0563C1"/>
      </a:hlink>
      <a:folHlink>
        <a:srgbClr val="954F72"/>
      </a:folHlink>
    </a:clrScheme>
    <a:fontScheme name="Wolanski Corporation">
      <a:majorFont>
        <a:latin typeface="Nexa Light"/>
        <a:ea typeface=""/>
        <a:cs typeface=""/>
      </a:majorFont>
      <a:minorFont>
        <a:latin typeface="Lor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w ramach Programu Operacyjnego Infrastruktura i Środowisko na lata 2014-2020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A r r a y O f D o c u m e n t L i n k 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8408F-C92C-4D37-B681-167B3FEBCD33}">
  <ds:schemaRefs>
    <ds:schemaRef ds:uri="http://schemas.openxmlformats.org/officeDocument/2006/bibliography"/>
  </ds:schemaRefs>
</ds:datastoreItem>
</file>

<file path=customXml/itemProps3.xml><?xml version="1.0" encoding="utf-8"?>
<ds:datastoreItem xmlns:ds="http://schemas.openxmlformats.org/officeDocument/2006/customXml" ds:itemID="{784E354F-F037-47A2-ABC5-7CFDF30B0EC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nowy szablon - mniejszy font, mniejsze marginesy, poprawione naglowki</Template>
  <TotalTime>0</TotalTime>
  <Pages>15</Pages>
  <Words>4572</Words>
  <Characters>27433</Characters>
  <Application>Microsoft Office Word</Application>
  <DocSecurity>0</DocSecurity>
  <Lines>228</Lines>
  <Paragraphs>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Dominik Makurat</cp:lastModifiedBy>
  <cp:revision>3</cp:revision>
  <cp:lastPrinted>2023-01-03T12:20:00Z</cp:lastPrinted>
  <dcterms:created xsi:type="dcterms:W3CDTF">2023-04-13T23:16:00Z</dcterms:created>
  <dcterms:modified xsi:type="dcterms:W3CDTF">2023-04-13T23:16:00Z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9bd8a65e5a864436c7702d4b1ab5ae87227693b3193b54bc86eec8dde070963e</vt:lpwstr>
  </property>
</Properties>
</file>